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spacing w:before="700" w:after="200"/>
      </w:pPr>
      <w:r>
        <w:t>NEURO UMBRELLA  /  NEUROKİNEMATİCS</w:t>
      </w:r>
    </w:p>
    <w:p>
      <w:pPr>
        <w:pStyle w:val="Title"/>
      </w:pPr>
      <w:r>
        <w:t>NeuroKinematics Model Kullanım Planı</w:t>
      </w:r>
    </w:p>
    <w:p>
      <w:pPr>
        <w:pStyle w:val="Subtitle"/>
        <w:spacing w:after="360"/>
      </w:pPr>
      <w:r>
        <w:rPr>
          <w:color w:val="596473"/>
          <w:sz w:val="28"/>
        </w:rPr>
        <w:t>Foundations Core Hybrid ve Studio görevleri için GPT 5 6 Sol ve GPT 6 Astra seçimi</w:t>
      </w:r>
    </w:p>
    <w:tbl>
      <w:tblPr>
        <w:tblW w:type="auto" w:w="0"/>
        <w:jc w:val="center"/>
        <w:tblLayout w:type="fixed"/>
        <w:tblLook w:firstColumn="1" w:firstRow="1" w:lastColumn="0" w:lastRow="0" w:noHBand="0" w:noVBand="1" w:val="04A0"/>
      </w:tblPr>
      <w:tblGrid>
        <w:gridCol w:w="10086"/>
      </w:tblGrid>
      <w:tr>
        <w:tc>
          <w:tcPr>
            <w:tcW w:type="dxa" w:w="10086"/>
            <w:shd w:fill="EAF1FA"/>
            <w:tcMar>
              <w:top w:w="130" w:type="dxa"/>
              <w:start w:w="160" w:type="dxa"/>
              <w:bottom w:w="130" w:type="dxa"/>
              <w:end w:w="160" w:type="dxa"/>
            </w:tcMar>
          </w:tcPr>
          <w:p>
            <w:pPr>
              <w:spacing w:after="80" w:line="240" w:lineRule="auto"/>
            </w:pPr>
            <w:r>
              <w:rPr>
                <w:rFonts w:ascii="Aptos" w:hAnsi="Aptos"/>
                <w:b/>
                <w:color w:val="16253B"/>
              </w:rPr>
              <w:t>Ana karar</w:t>
            </w:r>
          </w:p>
          <w:p>
            <w:pPr>
              <w:spacing w:after="0" w:line="240" w:lineRule="auto"/>
            </w:pPr>
            <w:r>
              <w:rPr>
                <w:rFonts w:ascii="Aptos" w:hAnsi="Aptos"/>
              </w:rPr>
              <w:t>GPT 5.6 Sol günlük geliştirme ve uygulama modelidir. GPT 6 Astra matematiksel doğruluk, deney tasarımı, karmaşık hata analizi ve faz kabul kararlarında kullanılır.</w:t>
            </w:r>
          </w:p>
        </w:tc>
      </w:tr>
    </w:tbl>
    <w:p>
      <w:pPr>
        <w:pStyle w:val="Heading1"/>
      </w:pPr>
      <w:r>
        <w:t>Belgenin amacı</w:t>
      </w:r>
    </w:p>
    <w:p>
      <w:r>
        <w:t>Bu plan, mevcut NeuroKinematics yol haritasındaki her görevin hangi modelle yürütülmesini önerdiğimizi gösterir. Amaç, doğruluk gerektiren kararları güçlü incelemeye ayırırken rutin kodlama, entegrasyon ve raporlama işlerinde kaynak kullanımını denetlemektir. Model seçimi kabul ölçütlerini veya test kapsamını değiştirmez.</w:t>
      </w:r>
    </w:p>
    <w:p>
      <w:pPr>
        <w:pStyle w:val="Heading2"/>
      </w:pPr>
      <w:r>
        <w:t>Model rolleri</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1984"/>
            <w:shd w:fill="16253B"/>
            <w:tcMar>
              <w:top w:w="90" w:type="dxa"/>
              <w:start w:w="110" w:type="dxa"/>
              <w:bottom w:w="90" w:type="dxa"/>
              <w:end w:w="110" w:type="dxa"/>
            </w:tcMar>
          </w:tcPr>
          <w:p>
            <w:pPr>
              <w:spacing w:line="240" w:lineRule="auto"/>
            </w:pPr>
            <w:r>
              <w:rPr>
                <w:rFonts w:ascii="Aptos" w:hAnsi="Aptos"/>
                <w:b/>
                <w:color w:val="FFFFFF"/>
                <w:sz w:val="18"/>
              </w:rPr>
              <w:t>Seçim</w:t>
            </w:r>
          </w:p>
        </w:tc>
        <w:tc>
          <w:tcPr>
            <w:tcW w:type="dxa" w:w="5329"/>
            <w:shd w:fill="16253B"/>
            <w:tcMar>
              <w:top w:w="90" w:type="dxa"/>
              <w:start w:w="110" w:type="dxa"/>
              <w:bottom w:w="90" w:type="dxa"/>
              <w:end w:w="110" w:type="dxa"/>
            </w:tcMar>
          </w:tcPr>
          <w:p>
            <w:pPr>
              <w:spacing w:line="240" w:lineRule="auto"/>
            </w:pPr>
            <w:r>
              <w:rPr>
                <w:rFonts w:ascii="Aptos" w:hAnsi="Aptos"/>
                <w:b/>
                <w:color w:val="FFFFFF"/>
                <w:sz w:val="18"/>
              </w:rPr>
              <w:t>Uygun işler</w:t>
            </w:r>
          </w:p>
        </w:tc>
        <w:tc>
          <w:tcPr>
            <w:tcW w:type="dxa" w:w="2438"/>
            <w:shd w:fill="16253B"/>
            <w:tcMar>
              <w:top w:w="90" w:type="dxa"/>
              <w:start w:w="110" w:type="dxa"/>
              <w:bottom w:w="90" w:type="dxa"/>
              <w:end w:w="110" w:type="dxa"/>
            </w:tcMar>
          </w:tcPr>
          <w:p>
            <w:pPr>
              <w:spacing w:line="240" w:lineRule="auto"/>
            </w:pPr>
            <w:r>
              <w:rPr>
                <w:rFonts w:ascii="Aptos" w:hAnsi="Aptos"/>
                <w:b/>
                <w:color w:val="FFFFFF"/>
                <w:sz w:val="18"/>
              </w:rPr>
              <w:t>Önerilen düşünme düzeyi</w:t>
            </w:r>
          </w:p>
        </w:tc>
      </w:tr>
      <w:tr>
        <w:trPr>
          <w:cantSplit/>
        </w:trPr>
        <w:tc>
          <w:tcPr>
            <w:tcW w:type="dxa" w:w="1984"/>
            <w:tcMar>
              <w:top w:w="90" w:type="dxa"/>
              <w:start w:w="110" w:type="dxa"/>
              <w:bottom w:w="90" w:type="dxa"/>
              <w:end w:w="110" w:type="dxa"/>
            </w:tcMar>
          </w:tcPr>
          <w:p>
            <w:pPr>
              <w:spacing w:after="0" w:line="240" w:lineRule="auto"/>
            </w:pPr>
            <w:r>
              <w:rPr>
                <w:rFonts w:ascii="Aptos" w:hAnsi="Aptos"/>
                <w:b/>
                <w:sz w:val="17"/>
              </w:rPr>
              <w:t>GPT 5.6 Sol</w:t>
            </w:r>
          </w:p>
        </w:tc>
        <w:tc>
          <w:tcPr>
            <w:tcW w:type="dxa" w:w="5329"/>
            <w:tcMar>
              <w:top w:w="90" w:type="dxa"/>
              <w:start w:w="110" w:type="dxa"/>
              <w:bottom w:w="90" w:type="dxa"/>
              <w:end w:w="110" w:type="dxa"/>
            </w:tcMar>
          </w:tcPr>
          <w:p>
            <w:pPr>
              <w:spacing w:after="0" w:line="240" w:lineRule="auto"/>
            </w:pPr>
            <w:r>
              <w:rPr>
                <w:rFonts w:ascii="Aptos" w:hAnsi="Aptos"/>
                <w:b w:val="0"/>
                <w:sz w:val="17"/>
              </w:rPr>
              <w:t>Doküman, yapılandırma, adaptör, standart kodlama, test çalıştırma, paketleme ve sonuç derleme</w:t>
            </w:r>
          </w:p>
        </w:tc>
        <w:tc>
          <w:tcPr>
            <w:tcW w:type="dxa" w:w="2438"/>
            <w:tcMar>
              <w:top w:w="90" w:type="dxa"/>
              <w:start w:w="110" w:type="dxa"/>
              <w:bottom w:w="90" w:type="dxa"/>
              <w:end w:w="110" w:type="dxa"/>
            </w:tcMar>
          </w:tcPr>
          <w:p>
            <w:pPr>
              <w:spacing w:after="0" w:line="240" w:lineRule="auto"/>
            </w:pPr>
            <w:r>
              <w:rPr>
                <w:rFonts w:ascii="Aptos" w:hAnsi="Aptos"/>
                <w:b w:val="0"/>
                <w:sz w:val="17"/>
              </w:rPr>
              <w:t>Low: rutin belge ve yapılandırma</w:t>
              <w:br/>
              <w:t>Medium: kodlama ve test</w:t>
              <w:br/>
              <w:t>High: entegrasyon hata ayıklama</w:t>
            </w:r>
          </w:p>
        </w:tc>
      </w:tr>
      <w:tr>
        <w:trPr>
          <w:cantSplit/>
        </w:trPr>
        <w:tc>
          <w:tcPr>
            <w:tcW w:type="dxa" w:w="1984"/>
            <w:tcMar>
              <w:top w:w="90" w:type="dxa"/>
              <w:start w:w="110" w:type="dxa"/>
              <w:bottom w:w="90" w:type="dxa"/>
              <w:end w:w="110" w:type="dxa"/>
            </w:tcMar>
            <w:shd w:fill="F4F6F8"/>
          </w:tcPr>
          <w:p>
            <w:pPr>
              <w:spacing w:after="0" w:line="240" w:lineRule="auto"/>
            </w:pPr>
            <w:r>
              <w:rPr>
                <w:rFonts w:ascii="Aptos" w:hAnsi="Aptos"/>
                <w:b/>
                <w:sz w:val="17"/>
              </w:rPr>
              <w:t>GPT 6 Astra</w:t>
            </w:r>
          </w:p>
        </w:tc>
        <w:tc>
          <w:tcPr>
            <w:tcW w:type="dxa" w:w="5329"/>
            <w:tcMar>
              <w:top w:w="90" w:type="dxa"/>
              <w:start w:w="110" w:type="dxa"/>
              <w:bottom w:w="90" w:type="dxa"/>
              <w:end w:w="110" w:type="dxa"/>
            </w:tcMar>
            <w:shd w:fill="F4F6F8"/>
          </w:tcPr>
          <w:p>
            <w:pPr>
              <w:spacing w:after="0" w:line="240" w:lineRule="auto"/>
            </w:pPr>
            <w:r>
              <w:rPr>
                <w:rFonts w:ascii="Aptos" w:hAnsi="Aptos"/>
                <w:b w:val="0"/>
                <w:sz w:val="17"/>
              </w:rPr>
              <w:t>Kinematik matematiği, Jacobian, autograd, bilimsel deney tasarımı, karmaşık servis mantığı ve faz geçiş incelemesi</w:t>
            </w:r>
          </w:p>
        </w:tc>
        <w:tc>
          <w:tcPr>
            <w:tcW w:type="dxa" w:w="2438"/>
            <w:tcMar>
              <w:top w:w="90" w:type="dxa"/>
              <w:start w:w="110" w:type="dxa"/>
              <w:bottom w:w="90" w:type="dxa"/>
              <w:end w:w="110" w:type="dxa"/>
            </w:tcMar>
            <w:shd w:fill="F4F6F8"/>
          </w:tcPr>
          <w:p>
            <w:pPr>
              <w:spacing w:after="0" w:line="240" w:lineRule="auto"/>
            </w:pPr>
            <w:r>
              <w:rPr>
                <w:rFonts w:ascii="Aptos" w:hAnsi="Aptos"/>
                <w:b w:val="0"/>
                <w:sz w:val="17"/>
              </w:rPr>
              <w:t>Medium: kapı incelemesi</w:t>
              <w:br/>
              <w:t>High: matematik ve deney</w:t>
              <w:br/>
              <w:t>Max: yalnız çözülemeyen kritik sorun</w:t>
            </w:r>
          </w:p>
        </w:tc>
      </w:tr>
    </w:tbl>
    <w:p>
      <w:pPr>
        <w:pStyle w:val="Meta"/>
        <w:spacing w:before="160"/>
      </w:pPr>
      <w:r>
        <w:rPr>
          <w:b/>
        </w:rPr>
        <w:t xml:space="preserve">Not: </w:t>
      </w:r>
      <w:r>
        <w:t>Daha düşük fiyat, her görevde daha az token kullanımı anlamına gelmez. Toplam verim; doğru model seçimi, tekrar sayısı ve bağlamın sınırlandırılmasıyla oluşur.</w:t>
      </w:r>
    </w:p>
    <w:p>
      <w:r>
        <w:br w:type="page"/>
      </w:r>
    </w:p>
    <w:p>
      <w:pPr>
        <w:pStyle w:val="Heading1"/>
      </w:pPr>
      <w:r>
        <w:t>Foundations Model Dağılımı</w:t>
      </w:r>
    </w:p>
    <w:p>
      <w:r>
        <w:t>Hedef: FK ve Jacobian doğruluğunu, veri üretimini ve sayısal baselineı güvenilir hale getirerek G0 kabul kapısını kanıtlarla değerlendirmek.</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494"/>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Görev</w:t>
            </w:r>
          </w:p>
        </w:tc>
        <w:tc>
          <w:tcPr>
            <w:tcW w:type="dxa" w:w="2154"/>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Önerilen model</w:t>
            </w:r>
          </w:p>
        </w:tc>
        <w:tc>
          <w:tcPr>
            <w:tcW w:type="dxa" w:w="5102"/>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Kullanım nedeni ve geçiş şartı</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F0-00  Kapsam ve ortam sözleşmesi</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medium</w:t>
            </w:r>
          </w:p>
        </w:tc>
        <w:tc>
          <w:tcPr>
            <w:tcW w:type="dxa" w:w="5102"/>
            <w:tcMar>
              <w:top w:w="90" w:type="dxa"/>
              <w:start w:w="110" w:type="dxa"/>
              <w:bottom w:w="90" w:type="dxa"/>
              <w:end w:w="110" w:type="dxa"/>
            </w:tcMar>
            <w:vAlign w:val="top"/>
          </w:tcPr>
          <w:p>
            <w:pPr>
              <w:spacing w:after="0" w:line="240" w:lineRule="auto"/>
            </w:pPr>
            <w:r>
              <w:rPr>
                <w:rFonts w:ascii="Aptos" w:hAnsi="Aptos"/>
                <w:sz w:val="17"/>
              </w:rPr>
              <w:t>Kurulum, sürüm kilidi ve mevcut kararların somutlaştırılması. Mimari kapsam çelişkisi çıkarsa Astra incelemesine geç.</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F0-01  Robot modeli ve manifest</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Sol  medium</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URDF kaynağı, hash, joint sırası, limitler ve manifest. Frame veya TCP belirsizliği çözülemiyorsa Astra kullan.</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F0-02  Bağımsız ileri kinematik</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Astra  high</w:t>
            </w:r>
          </w:p>
        </w:tc>
        <w:tc>
          <w:tcPr>
            <w:tcW w:type="dxa" w:w="5102"/>
            <w:tcMar>
              <w:top w:w="90" w:type="dxa"/>
              <w:start w:w="110" w:type="dxa"/>
              <w:bottom w:w="90" w:type="dxa"/>
              <w:end w:w="110" w:type="dxa"/>
            </w:tcMar>
            <w:vAlign w:val="top"/>
          </w:tcPr>
          <w:p>
            <w:pPr>
              <w:spacing w:after="0" w:line="240" w:lineRule="auto"/>
            </w:pPr>
            <w:r>
              <w:rPr>
                <w:rFonts w:ascii="Aptos" w:hAnsi="Aptos"/>
                <w:sz w:val="17"/>
              </w:rPr>
              <w:t>Dönüşüm yönü, çarpım sırası, base tip ve TCP hataları sonraki tüm sonuçları etkiler.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F0-03  Jacobian ve metrikler</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Astra  high</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Çerçeve seçimi, sonlu fark, karakteristik uzunluk ve dönme metrikleri birlikte doğrulanır.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F0-04  Deterministik veri fabrikası</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medium</w:t>
            </w:r>
          </w:p>
        </w:tc>
        <w:tc>
          <w:tcPr>
            <w:tcW w:type="dxa" w:w="5102"/>
            <w:tcMar>
              <w:top w:w="90" w:type="dxa"/>
              <w:start w:w="110" w:type="dxa"/>
              <w:bottom w:w="90" w:type="dxa"/>
              <w:end w:w="110" w:type="dxa"/>
            </w:tcMar>
            <w:vAlign w:val="top"/>
          </w:tcPr>
          <w:p>
            <w:pPr>
              <w:spacing w:after="0" w:line="240" w:lineRule="auto"/>
            </w:pPr>
            <w:r>
              <w:rPr>
                <w:rFonts w:ascii="Aptos" w:hAnsi="Aptos"/>
                <w:sz w:val="17"/>
              </w:rPr>
              <w:t>Doğrulanmış kinematik sözleşmesi üzerinden seed, hash, split, sızıntı ve coverage kontrolleri uygulanır.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F0-05  Sayısal baseline</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Astra high  ardından Sol medium</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Astra çözücü matematiği ve benchmark sözleşmesini kurar. Sol CLI, kayıt ve raporlama katmanlarını tamamlar.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F0-06  Kapanış ve faz devri</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medium  ardından Astra medium</w:t>
            </w:r>
          </w:p>
        </w:tc>
        <w:tc>
          <w:tcPr>
            <w:tcW w:type="dxa" w:w="5102"/>
            <w:tcMar>
              <w:top w:w="90" w:type="dxa"/>
              <w:start w:w="110" w:type="dxa"/>
              <w:bottom w:w="90" w:type="dxa"/>
              <w:end w:w="110" w:type="dxa"/>
            </w:tcMar>
            <w:vAlign w:val="top"/>
          </w:tcPr>
          <w:p>
            <w:pPr>
              <w:spacing w:after="0" w:line="240" w:lineRule="auto"/>
            </w:pPr>
            <w:r>
              <w:rPr>
                <w:rFonts w:ascii="Aptos" w:hAnsi="Aptos"/>
                <w:sz w:val="17"/>
              </w:rPr>
              <w:t>Sol kanıt paketini toplar. Astra G0 ölçütleriyle sınırlı kod ve sonuç incelemesi yapar.</w:t>
            </w:r>
          </w:p>
        </w:tc>
      </w:tr>
    </w:tbl>
    <w:p>
      <w:pPr>
        <w:spacing w:after="0"/>
      </w:pPr>
    </w:p>
    <w:tbl>
      <w:tblPr>
        <w:tblW w:type="auto" w:w="0"/>
        <w:jc w:val="center"/>
        <w:tblLayout w:type="fixed"/>
        <w:tblLook w:firstColumn="1" w:firstRow="1" w:lastColumn="0" w:lastRow="0" w:noHBand="0" w:noVBand="1" w:val="04A0"/>
      </w:tblPr>
      <w:tblGrid>
        <w:gridCol w:w="10086"/>
      </w:tblGrid>
      <w:tr>
        <w:tc>
          <w:tcPr>
            <w:tcW w:type="dxa" w:w="10086"/>
            <w:shd w:fill="FFF3D9"/>
            <w:tcMar>
              <w:top w:w="130" w:type="dxa"/>
              <w:start w:w="160" w:type="dxa"/>
              <w:bottom w:w="130" w:type="dxa"/>
              <w:end w:w="160" w:type="dxa"/>
            </w:tcMar>
          </w:tcPr>
          <w:p>
            <w:pPr>
              <w:spacing w:after="80" w:line="240" w:lineRule="auto"/>
            </w:pPr>
            <w:r>
              <w:rPr>
                <w:rFonts w:ascii="Aptos" w:hAnsi="Aptos"/>
                <w:b/>
                <w:color w:val="16253B"/>
              </w:rPr>
              <w:t>Kritik sınır</w:t>
            </w:r>
          </w:p>
          <w:p>
            <w:pPr>
              <w:spacing w:after="0" w:line="240" w:lineRule="auto"/>
            </w:pPr>
            <w:r>
              <w:rPr>
                <w:rFonts w:ascii="Aptos" w:hAnsi="Aptos"/>
              </w:rPr>
              <w:t>F0-02 ve F0-03 görevlerinde model tasarrufu amacıyla doğrulama kapsamı azaltılmaz. FK ve Jacobian geçmeden veri fabrikası araştırma girdisi olarak kabul edilmez.</w:t>
            </w:r>
          </w:p>
        </w:tc>
      </w:tr>
    </w:tbl>
    <w:p>
      <w:r>
        <w:br w:type="page"/>
      </w:r>
    </w:p>
    <w:p>
      <w:pPr>
        <w:pStyle w:val="Heading1"/>
      </w:pPr>
      <w:r>
        <w:t>Core Model Dağılımı</w:t>
      </w:r>
    </w:p>
    <w:p>
      <w:r>
        <w:t>Hedef: neural baseline, differentiable FK ve physics aware varyantları kontrollü deneylerle değerlendirerek G1 kararını üretmek.</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494"/>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Görev</w:t>
            </w:r>
          </w:p>
        </w:tc>
        <w:tc>
          <w:tcPr>
            <w:tcW w:type="dxa" w:w="2154"/>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Önerilen model</w:t>
            </w:r>
          </w:p>
        </w:tc>
        <w:tc>
          <w:tcPr>
            <w:tcW w:type="dxa" w:w="5102"/>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Kullanım nedeni ve geçiş şartı</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C1-01  Harici baseline entegrasyonu</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high</w:t>
            </w:r>
          </w:p>
        </w:tc>
        <w:tc>
          <w:tcPr>
            <w:tcW w:type="dxa" w:w="5102"/>
            <w:tcMar>
              <w:top w:w="90" w:type="dxa"/>
              <w:start w:w="110" w:type="dxa"/>
              <w:bottom w:w="90" w:type="dxa"/>
              <w:end w:w="110" w:type="dxa"/>
            </w:tcMar>
            <w:vAlign w:val="top"/>
          </w:tcPr>
          <w:p>
            <w:pPr>
              <w:spacing w:after="0" w:line="240" w:lineRule="auto"/>
            </w:pPr>
            <w:r>
              <w:rPr>
                <w:rFonts w:ascii="Aptos" w:hAnsi="Aptos"/>
                <w:sz w:val="17"/>
              </w:rPr>
              <w:t>KDL, TRAC IK ve pick ik adaptörleri. Aynı tolerans ve bütçe sözleşmesi korunur.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C1-02  Durumla şartlandırılmış çiftler</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Sol  medium</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q current, pair mode ve teacher metadata uygulanır. Sızıntı ve seçim yanlılığı test edilir.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C1-03  Diferansiyellenebilir FK</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Astra  high</w:t>
            </w:r>
          </w:p>
        </w:tc>
        <w:tc>
          <w:tcPr>
            <w:tcW w:type="dxa" w:w="5102"/>
            <w:tcMar>
              <w:top w:w="90" w:type="dxa"/>
              <w:start w:w="110" w:type="dxa"/>
              <w:bottom w:w="90" w:type="dxa"/>
              <w:end w:w="110" w:type="dxa"/>
            </w:tcMar>
            <w:vAlign w:val="top"/>
          </w:tcPr>
          <w:p>
            <w:pPr>
              <w:spacing w:after="0" w:line="240" w:lineRule="auto"/>
            </w:pPr>
            <w:r>
              <w:rPr>
                <w:rFonts w:ascii="Aptos" w:hAnsi="Aptos"/>
                <w:sz w:val="17"/>
              </w:rPr>
              <w:t>Referans eşliği, autograd sürekliliği ve gradcheck kritik matematik kontrolleridir.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C1-04  Neural baseline modelleri</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Sol  high</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Tanımlı MLP, eğitim döngüsü, checkpoint ve küçük veri öğrenme kontrolü uygulanır.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C1-05  Physics aware varyantlar</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Astra high  ardından Sol high</w:t>
            </w:r>
          </w:p>
        </w:tc>
        <w:tc>
          <w:tcPr>
            <w:tcW w:type="dxa" w:w="5102"/>
            <w:tcMar>
              <w:top w:w="90" w:type="dxa"/>
              <w:start w:w="110" w:type="dxa"/>
              <w:bottom w:w="90" w:type="dxa"/>
              <w:end w:w="110" w:type="dxa"/>
            </w:tcMar>
            <w:vAlign w:val="top"/>
          </w:tcPr>
          <w:p>
            <w:pPr>
              <w:spacing w:after="0" w:line="240" w:lineRule="auto"/>
            </w:pPr>
            <w:r>
              <w:rPr>
                <w:rFonts w:ascii="Aptos" w:hAnsi="Aptos"/>
                <w:sz w:val="17"/>
              </w:rPr>
              <w:t>Astra kayıp ve ablation tasarımını inceler. Sol deney altyapısını uygular ve çalıştırır.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C1-06  Ablasyon ve nihai değerlendirme</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Astra  high</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İstatistik, veri sızıntısı, karşılaştırma adaleti, bootstrap ve hipotez yorumu birlikte değerlendirilir.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C1-07  Model kartı ve kapanış</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medium  ardından Astra medium</w:t>
            </w:r>
          </w:p>
        </w:tc>
        <w:tc>
          <w:tcPr>
            <w:tcW w:type="dxa" w:w="5102"/>
            <w:tcMar>
              <w:top w:w="90" w:type="dxa"/>
              <w:start w:w="110" w:type="dxa"/>
              <w:bottom w:w="90" w:type="dxa"/>
              <w:end w:w="110" w:type="dxa"/>
            </w:tcMar>
            <w:vAlign w:val="top"/>
          </w:tcPr>
          <w:p>
            <w:pPr>
              <w:spacing w:after="0" w:line="240" w:lineRule="auto"/>
            </w:pPr>
            <w:r>
              <w:rPr>
                <w:rFonts w:ascii="Aptos" w:hAnsi="Aptos"/>
                <w:sz w:val="17"/>
              </w:rPr>
              <w:t>Sol model kartı ve paketi hazırlar. Astra G1 kanıtlarını ve iddia sınırlarını inceler.</w:t>
            </w:r>
          </w:p>
        </w:tc>
      </w:tr>
    </w:tbl>
    <w:p>
      <w:pPr>
        <w:spacing w:after="0"/>
      </w:pPr>
    </w:p>
    <w:tbl>
      <w:tblPr>
        <w:tblW w:type="auto" w:w="0"/>
        <w:jc w:val="center"/>
        <w:tblLayout w:type="fixed"/>
        <w:tblLook w:firstColumn="1" w:firstRow="1" w:lastColumn="0" w:lastRow="0" w:noHBand="0" w:noVBand="1" w:val="04A0"/>
      </w:tblPr>
      <w:tblGrid>
        <w:gridCol w:w="10086"/>
      </w:tblGrid>
      <w:tr>
        <w:tc>
          <w:tcPr>
            <w:tcW w:type="dxa" w:w="10086"/>
            <w:shd w:fill="EAF1FA"/>
            <w:tcMar>
              <w:top w:w="130" w:type="dxa"/>
              <w:start w:w="160" w:type="dxa"/>
              <w:bottom w:w="130" w:type="dxa"/>
              <w:end w:w="160" w:type="dxa"/>
            </w:tcMar>
          </w:tcPr>
          <w:p>
            <w:pPr>
              <w:spacing w:after="80" w:line="240" w:lineRule="auto"/>
            </w:pPr>
            <w:r>
              <w:rPr>
                <w:rFonts w:ascii="Aptos" w:hAnsi="Aptos"/>
                <w:b/>
                <w:color w:val="16253B"/>
              </w:rPr>
              <w:t>Kaynak kullanımı</w:t>
            </w:r>
          </w:p>
          <w:p>
            <w:pPr>
              <w:spacing w:after="0" w:line="240" w:lineRule="auto"/>
            </w:pPr>
            <w:r>
              <w:rPr>
                <w:rFonts w:ascii="Aptos" w:hAnsi="Aptos"/>
              </w:rPr>
              <w:t>Uzun eğitimler Codex oturumundan bağımsız çalıştırılır. Model yalnız hata tanısı, deney kararı ve sonuç değerlendirmesi sırasında devreye alınır.</w:t>
            </w:r>
          </w:p>
        </w:tc>
      </w:tr>
    </w:tbl>
    <w:p>
      <w:r>
        <w:br w:type="page"/>
      </w:r>
    </w:p>
    <w:p>
      <w:pPr>
        <w:pStyle w:val="Heading1"/>
      </w:pPr>
      <w:r>
        <w:t>Hybrid Model Dağılımı</w:t>
      </w:r>
    </w:p>
    <w:p>
      <w:r>
        <w:t>Hedef: güvenilir hata davranışı, ortak zaman bütçesi altında hibrit çözüm, H1 değerlendirmesi, yörünge ve ONNX eşliğiyle G2 kararını üretmek.</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494"/>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Görev</w:t>
            </w:r>
          </w:p>
        </w:tc>
        <w:tc>
          <w:tcPr>
            <w:tcW w:type="dxa" w:w="2154"/>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Önerilen model</w:t>
            </w:r>
          </w:p>
        </w:tc>
        <w:tc>
          <w:tcPr>
            <w:tcW w:type="dxa" w:w="5102"/>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Kullanım nedeni ve geçiş şartı</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H2-01  Kabul ve hata politikası</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Astra high  ardından Sol medium</w:t>
            </w:r>
          </w:p>
        </w:tc>
        <w:tc>
          <w:tcPr>
            <w:tcW w:type="dxa" w:w="5102"/>
            <w:tcMar>
              <w:top w:w="90" w:type="dxa"/>
              <w:start w:w="110" w:type="dxa"/>
              <w:bottom w:w="90" w:type="dxa"/>
              <w:end w:w="110" w:type="dxa"/>
            </w:tcMar>
            <w:vAlign w:val="top"/>
          </w:tcPr>
          <w:p>
            <w:pPr>
              <w:spacing w:after="0" w:line="240" w:lineRule="auto"/>
            </w:pPr>
            <w:r>
              <w:rPr>
                <w:rFonts w:ascii="Aptos" w:hAnsi="Aptos"/>
                <w:sz w:val="17"/>
              </w:rPr>
              <w:t>Astra sonuç durumlarının mantığını inceler. Sol şema, doğrulama ve durum testlerini uygular.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H2-02  Bütçeli hibrit çözücü</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Astra  high</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Neural seed, refinement, restart, toplam bütçe ve son doğrulama aynı servis akışında ele alınır.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H2-03  Öğrenilmiş başlangıç H1 deneyi</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Astra  high</w:t>
            </w:r>
          </w:p>
        </w:tc>
        <w:tc>
          <w:tcPr>
            <w:tcW w:type="dxa" w:w="5102"/>
            <w:tcMar>
              <w:top w:w="90" w:type="dxa"/>
              <w:start w:w="110" w:type="dxa"/>
              <w:bottom w:w="90" w:type="dxa"/>
              <w:end w:w="110" w:type="dxa"/>
            </w:tcMar>
            <w:vAlign w:val="top"/>
          </w:tcPr>
          <w:p>
            <w:pPr>
              <w:spacing w:after="0" w:line="240" w:lineRule="auto"/>
            </w:pPr>
            <w:r>
              <w:rPr>
                <w:rFonts w:ascii="Aptos" w:hAnsi="Aptos"/>
                <w:sz w:val="17"/>
              </w:rPr>
              <w:t>P95 gecikme ve başarı kaybı aynı algoritma ve bütçede adil karşılaştırılır.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H2-04  Yörünge ve geometri kontrolü</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Astra high  ardından Sol high</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Astra zaman türevlerini ve kontrol kapsamını kurar. Sol backend, test ve görselleştirmeyi tamamlar.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H2-05  ONNX aktarımı ve eşlik</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high</w:t>
            </w:r>
          </w:p>
        </w:tc>
        <w:tc>
          <w:tcPr>
            <w:tcW w:type="dxa" w:w="5102"/>
            <w:tcMar>
              <w:top w:w="90" w:type="dxa"/>
              <w:start w:w="110" w:type="dxa"/>
              <w:bottom w:w="90" w:type="dxa"/>
              <w:end w:w="110" w:type="dxa"/>
            </w:tcMar>
            <w:vAlign w:val="top"/>
          </w:tcPr>
          <w:p>
            <w:pPr>
              <w:spacing w:after="0" w:line="240" w:lineRule="auto"/>
            </w:pPr>
            <w:r>
              <w:rPr>
                <w:rFonts w:ascii="Aptos" w:hAnsi="Aptos"/>
                <w:sz w:val="17"/>
              </w:rPr>
              <w:t>Export, preprocessing ve 1000 girdi eşlik testi yürütülür. Açıklanamayan sapmada Astra incelemesine geçilir.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H2-06  Kapanış ve servis paketi</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Sol medium  ardından Astra medium</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Sol servis paketini hazırlar. Astra G2 ve varsayılan motor kararını kanıtlarla inceler.</w:t>
            </w:r>
          </w:p>
        </w:tc>
      </w:tr>
    </w:tbl>
    <w:p>
      <w:pPr>
        <w:spacing w:after="0"/>
      </w:pPr>
    </w:p>
    <w:tbl>
      <w:tblPr>
        <w:tblW w:type="auto" w:w="0"/>
        <w:jc w:val="center"/>
        <w:tblLayout w:type="fixed"/>
        <w:tblLook w:firstColumn="1" w:firstRow="1" w:lastColumn="0" w:lastRow="0" w:noHBand="0" w:noVBand="1" w:val="04A0"/>
      </w:tblPr>
      <w:tblGrid>
        <w:gridCol w:w="10086"/>
      </w:tblGrid>
      <w:tr>
        <w:tc>
          <w:tcPr>
            <w:tcW w:type="dxa" w:w="10086"/>
            <w:shd w:fill="FFF3D9"/>
            <w:tcMar>
              <w:top w:w="130" w:type="dxa"/>
              <w:start w:w="160" w:type="dxa"/>
              <w:bottom w:w="130" w:type="dxa"/>
              <w:end w:w="160" w:type="dxa"/>
            </w:tcMar>
          </w:tcPr>
          <w:p>
            <w:pPr>
              <w:spacing w:after="80" w:line="240" w:lineRule="auto"/>
            </w:pPr>
            <w:r>
              <w:rPr>
                <w:rFonts w:ascii="Aptos" w:hAnsi="Aptos"/>
                <w:b/>
                <w:color w:val="16253B"/>
              </w:rPr>
              <w:t>Geçiş koşulu</w:t>
            </w:r>
          </w:p>
          <w:p>
            <w:pPr>
              <w:spacing w:after="0" w:line="240" w:lineRule="auto"/>
            </w:pPr>
            <w:r>
              <w:rPr>
                <w:rFonts w:ascii="Aptos" w:hAnsi="Aptos"/>
              </w:rPr>
              <w:t>Sol ile iki kanıtsız düzeltme döngüsü sonuç vermiyorsa hata özeti, ilgili diff, test komutu ve log kesiti hazırlanarak Astra high oturumuna geçilir.</w:t>
            </w:r>
          </w:p>
        </w:tc>
      </w:tr>
    </w:tbl>
    <w:p>
      <w:r>
        <w:br w:type="page"/>
      </w:r>
    </w:p>
    <w:p>
      <w:pPr>
        <w:pStyle w:val="Heading1"/>
      </w:pPr>
      <w:r>
        <w:t>Studio Model Dağılımı</w:t>
      </w:r>
    </w:p>
    <w:p>
      <w:r>
        <w:t>Hedef: ikinci robot, kullanılabilir masaüstü arayüzü ve temiz hedef sistemde doğrulanmış dağıtım paketiyle G3 kararını üretmek.</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494"/>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Görev</w:t>
            </w:r>
          </w:p>
        </w:tc>
        <w:tc>
          <w:tcPr>
            <w:tcW w:type="dxa" w:w="2154"/>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Önerilen model</w:t>
            </w:r>
          </w:p>
        </w:tc>
        <w:tc>
          <w:tcPr>
            <w:tcW w:type="dxa" w:w="5102"/>
            <w:shd w:fill="16253B"/>
            <w:tcMar>
              <w:top w:w="90" w:type="dxa"/>
              <w:start w:w="110" w:type="dxa"/>
              <w:bottom w:w="90" w:type="dxa"/>
              <w:end w:w="110" w:type="dxa"/>
            </w:tcMar>
            <w:vAlign w:val="center"/>
          </w:tcPr>
          <w:p>
            <w:pPr>
              <w:spacing w:after="0" w:line="240" w:lineRule="auto"/>
              <w:jc w:val="left"/>
            </w:pPr>
            <w:r>
              <w:rPr>
                <w:rFonts w:ascii="Aptos" w:hAnsi="Aptos"/>
                <w:b/>
                <w:color w:val="FFFFFF"/>
                <w:sz w:val="18"/>
              </w:rPr>
              <w:t>Kullanım nedeni ve geçiş şartı</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S3-01  İkinci robot ve H3 deneyi</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high  ardından Astra high</w:t>
            </w:r>
          </w:p>
        </w:tc>
        <w:tc>
          <w:tcPr>
            <w:tcW w:type="dxa" w:w="5102"/>
            <w:tcMar>
              <w:top w:w="90" w:type="dxa"/>
              <w:start w:w="110" w:type="dxa"/>
              <w:bottom w:w="90" w:type="dxa"/>
              <w:end w:w="110" w:type="dxa"/>
            </w:tcMar>
            <w:vAlign w:val="top"/>
          </w:tcPr>
          <w:p>
            <w:pPr>
              <w:spacing w:after="0" w:line="240" w:lineRule="auto"/>
            </w:pPr>
            <w:r>
              <w:rPr>
                <w:rFonts w:ascii="Aptos" w:hAnsi="Aptos"/>
                <w:sz w:val="17"/>
              </w:rPr>
              <w:t>Sol mevcut pipelineı yeni manifest ve yapılandırma ile uygular. Astra regresyonları ve genellenebilirlik iddiasını inceler.</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S3-02  GUI kabuğu ve servis bağlantısı</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Sol  high</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Yerleşmiş SolverRequest ve SolverResult sözleşmesi üzerinden arayüz ve 3B görünüm geliştirilir.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S3-03  Analiz ve uzun görev yönetimi</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high</w:t>
            </w:r>
          </w:p>
        </w:tc>
        <w:tc>
          <w:tcPr>
            <w:tcW w:type="dxa" w:w="5102"/>
            <w:tcMar>
              <w:top w:w="90" w:type="dxa"/>
              <w:start w:w="110" w:type="dxa"/>
              <w:bottom w:w="90" w:type="dxa"/>
              <w:end w:w="110" w:type="dxa"/>
            </w:tcMar>
            <w:vAlign w:val="top"/>
          </w:tcPr>
          <w:p>
            <w:pPr>
              <w:spacing w:after="0" w:line="240" w:lineRule="auto"/>
            </w:pPr>
            <w:r>
              <w:rPr>
                <w:rFonts w:ascii="Aptos" w:hAnsi="Aptos"/>
                <w:sz w:val="17"/>
              </w:rPr>
              <w:t>Worker, iptal, stale result koruması, heatmap ve yörünge akışları uygulanır. Tekrarlayan eşzamanlılık sorununda Astra.</w:t>
            </w:r>
          </w:p>
        </w:tc>
      </w:tr>
      <w:tr>
        <w:trPr>
          <w:cantSplit/>
        </w:trPr>
        <w:tc>
          <w:tcPr>
            <w:tcW w:type="dxa" w:w="2494"/>
            <w:tcMar>
              <w:top w:w="90" w:type="dxa"/>
              <w:start w:w="110" w:type="dxa"/>
              <w:bottom w:w="90" w:type="dxa"/>
              <w:end w:w="110" w:type="dxa"/>
            </w:tcMar>
            <w:vAlign w:val="top"/>
            <w:shd w:fill="F4F6F8"/>
          </w:tcPr>
          <w:p>
            <w:pPr>
              <w:spacing w:after="0" w:line="240" w:lineRule="auto"/>
            </w:pPr>
            <w:r>
              <w:rPr>
                <w:rFonts w:ascii="Aptos" w:hAnsi="Aptos"/>
                <w:b/>
                <w:sz w:val="17"/>
              </w:rPr>
              <w:t>S3-04  Dışa aktarım ve dağıtım</w:t>
            </w:r>
          </w:p>
        </w:tc>
        <w:tc>
          <w:tcPr>
            <w:tcW w:type="dxa" w:w="2154"/>
            <w:tcMar>
              <w:top w:w="90" w:type="dxa"/>
              <w:start w:w="110" w:type="dxa"/>
              <w:bottom w:w="90" w:type="dxa"/>
              <w:end w:w="110" w:type="dxa"/>
            </w:tcMar>
            <w:vAlign w:val="top"/>
            <w:shd w:fill="F4F6F8"/>
          </w:tcPr>
          <w:p>
            <w:pPr>
              <w:spacing w:after="0" w:line="240" w:lineRule="auto"/>
            </w:pPr>
            <w:r>
              <w:rPr>
                <w:rFonts w:ascii="Aptos" w:hAnsi="Aptos"/>
                <w:b/>
                <w:color w:val="2F66B0"/>
                <w:sz w:val="17"/>
              </w:rPr>
              <w:t>Sol  high</w:t>
            </w:r>
          </w:p>
        </w:tc>
        <w:tc>
          <w:tcPr>
            <w:tcW w:type="dxa" w:w="5102"/>
            <w:tcMar>
              <w:top w:w="90" w:type="dxa"/>
              <w:start w:w="110" w:type="dxa"/>
              <w:bottom w:w="90" w:type="dxa"/>
              <w:end w:w="110" w:type="dxa"/>
            </w:tcMar>
            <w:vAlign w:val="top"/>
            <w:shd w:fill="F4F6F8"/>
          </w:tcPr>
          <w:p>
            <w:pPr>
              <w:spacing w:after="0" w:line="240" w:lineRule="auto"/>
            </w:pPr>
            <w:r>
              <w:rPr>
                <w:rFonts w:ascii="Aptos" w:hAnsi="Aptos"/>
                <w:sz w:val="17"/>
              </w:rPr>
              <w:t>Dosya şemaları, aç kaydet aç eşliği, SBOM, paketleme ve temiz Windows CPU testi yürütülür.</w:t>
            </w:r>
          </w:p>
        </w:tc>
      </w:tr>
      <w:tr>
        <w:trPr>
          <w:cantSplit/>
        </w:trPr>
        <w:tc>
          <w:tcPr>
            <w:tcW w:type="dxa" w:w="2494"/>
            <w:tcMar>
              <w:top w:w="90" w:type="dxa"/>
              <w:start w:w="110" w:type="dxa"/>
              <w:bottom w:w="90" w:type="dxa"/>
              <w:end w:w="110" w:type="dxa"/>
            </w:tcMar>
            <w:vAlign w:val="top"/>
          </w:tcPr>
          <w:p>
            <w:pPr>
              <w:spacing w:after="0" w:line="240" w:lineRule="auto"/>
            </w:pPr>
            <w:r>
              <w:rPr>
                <w:rFonts w:ascii="Aptos" w:hAnsi="Aptos"/>
                <w:b/>
                <w:sz w:val="17"/>
              </w:rPr>
              <w:t>S3-05  Kullanıcı testi ve kapanış</w:t>
            </w:r>
          </w:p>
        </w:tc>
        <w:tc>
          <w:tcPr>
            <w:tcW w:type="dxa" w:w="2154"/>
            <w:tcMar>
              <w:top w:w="90" w:type="dxa"/>
              <w:start w:w="110" w:type="dxa"/>
              <w:bottom w:w="90" w:type="dxa"/>
              <w:end w:w="110" w:type="dxa"/>
            </w:tcMar>
            <w:vAlign w:val="top"/>
          </w:tcPr>
          <w:p>
            <w:pPr>
              <w:spacing w:after="0" w:line="240" w:lineRule="auto"/>
            </w:pPr>
            <w:r>
              <w:rPr>
                <w:rFonts w:ascii="Aptos" w:hAnsi="Aptos"/>
                <w:b/>
                <w:color w:val="2F66B0"/>
                <w:sz w:val="17"/>
              </w:rPr>
              <w:t>Sol medium  ardından Astra medium</w:t>
            </w:r>
          </w:p>
        </w:tc>
        <w:tc>
          <w:tcPr>
            <w:tcW w:type="dxa" w:w="5102"/>
            <w:tcMar>
              <w:top w:w="90" w:type="dxa"/>
              <w:start w:w="110" w:type="dxa"/>
              <w:bottom w:w="90" w:type="dxa"/>
              <w:end w:w="110" w:type="dxa"/>
            </w:tcMar>
            <w:vAlign w:val="top"/>
          </w:tcPr>
          <w:p>
            <w:pPr>
              <w:spacing w:after="0" w:line="240" w:lineRule="auto"/>
            </w:pPr>
            <w:r>
              <w:rPr>
                <w:rFonts w:ascii="Aptos" w:hAnsi="Aptos"/>
                <w:sz w:val="17"/>
              </w:rPr>
              <w:t>Sol kullanıcı bulgularını ve kanıtları derler. Astra G3 kararını ve iddia sınırlarını inceler.</w:t>
            </w:r>
          </w:p>
        </w:tc>
      </w:tr>
    </w:tbl>
    <w:p>
      <w:pPr>
        <w:spacing w:after="0"/>
      </w:pPr>
    </w:p>
    <w:tbl>
      <w:tblPr>
        <w:tblW w:type="auto" w:w="0"/>
        <w:jc w:val="center"/>
        <w:tblLayout w:type="fixed"/>
        <w:tblLook w:firstColumn="1" w:firstRow="1" w:lastColumn="0" w:lastRow="0" w:noHBand="0" w:noVBand="1" w:val="04A0"/>
      </w:tblPr>
      <w:tblGrid>
        <w:gridCol w:w="10086"/>
      </w:tblGrid>
      <w:tr>
        <w:tc>
          <w:tcPr>
            <w:tcW w:type="dxa" w:w="10086"/>
            <w:shd w:fill="EAF1FA"/>
            <w:tcMar>
              <w:top w:w="130" w:type="dxa"/>
              <w:start w:w="160" w:type="dxa"/>
              <w:bottom w:w="130" w:type="dxa"/>
              <w:end w:w="160" w:type="dxa"/>
            </w:tcMar>
          </w:tcPr>
          <w:p>
            <w:pPr>
              <w:spacing w:after="80" w:line="240" w:lineRule="auto"/>
            </w:pPr>
            <w:r>
              <w:rPr>
                <w:rFonts w:ascii="Aptos" w:hAnsi="Aptos"/>
                <w:b/>
                <w:color w:val="16253B"/>
              </w:rPr>
              <w:t>İnceleme kapsamı</w:t>
            </w:r>
          </w:p>
          <w:p>
            <w:pPr>
              <w:spacing w:after="0" w:line="240" w:lineRule="auto"/>
            </w:pPr>
            <w:r>
              <w:rPr>
                <w:rFonts w:ascii="Aptos" w:hAnsi="Aptos"/>
              </w:rPr>
              <w:t>Sol ardından Astra ifadesi bütün görevin yeniden yapılması anlamına gelmez. Astra yalnız değişiklik özeti, kritik diff, test kanıtı, başarısızlıklar ve açık kararlarla beslenen sınırlı bir inceleme yapar.</w:t>
            </w:r>
          </w:p>
        </w:tc>
      </w:tr>
    </w:tbl>
    <w:p>
      <w:r>
        <w:br w:type="page"/>
      </w:r>
    </w:p>
    <w:p>
      <w:pPr>
        <w:pStyle w:val="Heading1"/>
      </w:pPr>
      <w:r>
        <w:t>Oturum ve Model Değiştirme Kuralları</w:t>
      </w:r>
    </w:p>
    <w:p>
      <w:r>
        <w:t>Model seçimi görevin teknik riskine göre yapılır. Her oturum tek bir roadmap görevine veya açıkça tanımlanmış bir alt işe bağlanır.</w:t>
      </w:r>
    </w:p>
    <w:p>
      <w:pPr>
        <w:pStyle w:val="Heading2"/>
      </w:pPr>
      <w:r>
        <w:t>Astra kullanımını tetikleyen koşullar</w:t>
      </w:r>
    </w:p>
    <w:p>
      <w:pPr>
        <w:pStyle w:val="ListBullet"/>
        <w:spacing w:after="80"/>
      </w:pPr>
      <w:r>
        <w:t>FK, Jacobian, autograd, optimizasyon veya zaman bütçesi gibi temel matematikte belirsizlik bulunması.</w:t>
      </w:r>
    </w:p>
    <w:p>
      <w:pPr>
        <w:pStyle w:val="ListBullet"/>
        <w:spacing w:after="80"/>
      </w:pPr>
      <w:r>
        <w:t>Aynı hata için Sol ile iki düzeltme yapıldığı halde yeni kanıt veya ilerleme oluşmaması.</w:t>
      </w:r>
    </w:p>
    <w:p>
      <w:pPr>
        <w:pStyle w:val="ListBullet"/>
        <w:spacing w:after="80"/>
      </w:pPr>
      <w:r>
        <w:t>Testlerin geçtiği halde iki bağımsız uygulamanın farklı sonuç vermesi.</w:t>
      </w:r>
    </w:p>
    <w:p>
      <w:pPr>
        <w:pStyle w:val="ListBullet"/>
        <w:spacing w:after="80"/>
      </w:pPr>
      <w:r>
        <w:t>Deney tasarımında veri sızıntısı, karşılaştırma adaleti veya istatistiksel yorum riski bulunması.</w:t>
      </w:r>
    </w:p>
    <w:p>
      <w:pPr>
        <w:pStyle w:val="ListBullet"/>
        <w:spacing w:after="80"/>
      </w:pPr>
      <w:r>
        <w:t>G0, G1, G2 veya G3 kapısının kapatılacak olması ya da yayınlanabilir teknik iddia kurulması.</w:t>
      </w:r>
    </w:p>
    <w:p>
      <w:pPr>
        <w:pStyle w:val="Heading2"/>
      </w:pPr>
      <w:r>
        <w:t>Token ve kota tasarrufu düzeni</w:t>
      </w:r>
    </w:p>
    <w:p>
      <w:pPr>
        <w:pStyle w:val="ListBullet"/>
        <w:spacing w:after="80"/>
      </w:pPr>
      <w:r>
        <w:rPr>
          <w:b/>
        </w:rPr>
        <w:t>Tek görev ilkesi:</w:t>
      </w:r>
      <w:r>
        <w:t xml:space="preserve"> Bir oturumda tek roadmap görevi veya tek hata sınıfı ele alınır.</w:t>
      </w:r>
    </w:p>
    <w:p>
      <w:pPr>
        <w:pStyle w:val="ListBullet"/>
        <w:spacing w:after="80"/>
      </w:pPr>
      <w:r>
        <w:rPr>
          <w:b/>
        </w:rPr>
        <w:t>Seçili bağlam:</w:t>
      </w:r>
      <w:r>
        <w:t xml:space="preserve"> AGENTS.md, aktif görev dosyası, ilgili teknik bölüm ve son çalışma kaydı okunur; ihtiyaç halinde diğer belgelere geçilir.</w:t>
      </w:r>
    </w:p>
    <w:p>
      <w:pPr>
        <w:pStyle w:val="ListBullet"/>
        <w:spacing w:after="80"/>
      </w:pPr>
      <w:r>
        <w:rPr>
          <w:b/>
        </w:rPr>
        <w:t>Dosya tabanlı kanıt:</w:t>
      </w:r>
      <w:r>
        <w:t xml:space="preserve"> Tam loglar ve deney çıktıları dosyada tutulur; modele özet, ilgili satırlar ve dosya yolu verilir.</w:t>
      </w:r>
    </w:p>
    <w:p>
      <w:pPr>
        <w:pStyle w:val="ListBullet"/>
        <w:spacing w:after="80"/>
      </w:pPr>
      <w:r>
        <w:rPr>
          <w:b/>
        </w:rPr>
        <w:t>Kontrollü geçiş:</w:t>
      </w:r>
      <w:r>
        <w:t xml:space="preserve"> Model değişimi tamamlanmış alt iş veya açık hata devri üzerinden yapılır.</w:t>
      </w:r>
    </w:p>
    <w:p>
      <w:pPr>
        <w:pStyle w:val="ListBullet"/>
        <w:spacing w:after="80"/>
      </w:pPr>
      <w:r>
        <w:rPr>
          <w:b/>
        </w:rPr>
        <w:t>Kısa devir kaydı:</w:t>
      </w:r>
      <w:r>
        <w:t xml:space="preserve"> Görev, commit, değişen dosyalar, testler, sonuçlar, açık sorun ve sonraki adım kaydedilir.</w:t>
      </w:r>
    </w:p>
    <w:p>
      <w:pPr>
        <w:pStyle w:val="ListBullet"/>
        <w:spacing w:after="80"/>
      </w:pPr>
      <w:r>
        <w:rPr>
          <w:b/>
        </w:rPr>
        <w:t>Gerçek kullanım kaydı:</w:t>
      </w:r>
      <w:r>
        <w:t xml:space="preserve"> Arayüz kullanım verisi sunuyorsa kaydedilir; görünmeyen token veya maliyet için tahmin üretilmez.</w:t>
      </w:r>
    </w:p>
    <w:p>
      <w:pPr>
        <w:pStyle w:val="Heading2"/>
      </w:pPr>
      <w:r>
        <w:t>Başlangıç sırası</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1020"/>
            <w:shd w:fill="16253B"/>
            <w:tcMar>
              <w:top w:w="90" w:type="dxa"/>
              <w:start w:w="110" w:type="dxa"/>
              <w:bottom w:w="90" w:type="dxa"/>
              <w:end w:w="110" w:type="dxa"/>
            </w:tcMar>
          </w:tcPr>
          <w:p>
            <w:pPr>
              <w:spacing w:line="240" w:lineRule="auto"/>
            </w:pPr>
            <w:r>
              <w:rPr>
                <w:rFonts w:ascii="Aptos" w:hAnsi="Aptos"/>
                <w:b/>
                <w:color w:val="FFFFFF"/>
                <w:sz w:val="18"/>
              </w:rPr>
              <w:t>Sıra</w:t>
            </w:r>
          </w:p>
        </w:tc>
        <w:tc>
          <w:tcPr>
            <w:tcW w:type="dxa" w:w="6180"/>
            <w:shd w:fill="16253B"/>
            <w:tcMar>
              <w:top w:w="90" w:type="dxa"/>
              <w:start w:w="110" w:type="dxa"/>
              <w:bottom w:w="90" w:type="dxa"/>
              <w:end w:w="110" w:type="dxa"/>
            </w:tcMar>
          </w:tcPr>
          <w:p>
            <w:pPr>
              <w:spacing w:line="240" w:lineRule="auto"/>
            </w:pPr>
            <w:r>
              <w:rPr>
                <w:rFonts w:ascii="Aptos" w:hAnsi="Aptos"/>
                <w:b/>
                <w:color w:val="FFFFFF"/>
                <w:sz w:val="18"/>
              </w:rPr>
              <w:t>İş</w:t>
            </w:r>
          </w:p>
        </w:tc>
        <w:tc>
          <w:tcPr>
            <w:tcW w:type="dxa" w:w="2551"/>
            <w:shd w:fill="16253B"/>
            <w:tcMar>
              <w:top w:w="90" w:type="dxa"/>
              <w:start w:w="110" w:type="dxa"/>
              <w:bottom w:w="90" w:type="dxa"/>
              <w:end w:w="110" w:type="dxa"/>
            </w:tcMar>
          </w:tcPr>
          <w:p>
            <w:pPr>
              <w:spacing w:line="240" w:lineRule="auto"/>
            </w:pPr>
            <w:r>
              <w:rPr>
                <w:rFonts w:ascii="Aptos" w:hAnsi="Aptos"/>
                <w:b/>
                <w:color w:val="FFFFFF"/>
                <w:sz w:val="18"/>
              </w:rPr>
              <w:t>Model</w:t>
            </w:r>
          </w:p>
        </w:tc>
      </w:tr>
      <w:tr>
        <w:trPr>
          <w:cantSplit/>
        </w:trPr>
        <w:tc>
          <w:tcPr>
            <w:tcW w:type="dxa" w:w="1020"/>
            <w:tcMar>
              <w:top w:w="90" w:type="dxa"/>
              <w:start w:w="110" w:type="dxa"/>
              <w:bottom w:w="90" w:type="dxa"/>
              <w:end w:w="110" w:type="dxa"/>
            </w:tcMar>
          </w:tcPr>
          <w:p>
            <w:pPr>
              <w:spacing w:line="240" w:lineRule="auto"/>
            </w:pPr>
            <w:r>
              <w:rPr>
                <w:rFonts w:ascii="Aptos" w:hAnsi="Aptos"/>
                <w:b/>
                <w:sz w:val="17"/>
              </w:rPr>
              <w:t>1</w:t>
            </w:r>
          </w:p>
        </w:tc>
        <w:tc>
          <w:tcPr>
            <w:tcW w:type="dxa" w:w="6180"/>
            <w:tcMar>
              <w:top w:w="90" w:type="dxa"/>
              <w:start w:w="110" w:type="dxa"/>
              <w:bottom w:w="90" w:type="dxa"/>
              <w:end w:w="110" w:type="dxa"/>
            </w:tcMar>
          </w:tcPr>
          <w:p>
            <w:pPr>
              <w:spacing w:line="240" w:lineRule="auto"/>
            </w:pPr>
            <w:r>
              <w:rPr>
                <w:rFonts w:ascii="Aptos" w:hAnsi="Aptos"/>
                <w:b w:val="0"/>
                <w:sz w:val="17"/>
              </w:rPr>
              <w:t>Git ve dokümantasyon başlangıcı</w:t>
            </w:r>
          </w:p>
        </w:tc>
        <w:tc>
          <w:tcPr>
            <w:tcW w:type="dxa" w:w="2551"/>
            <w:tcMar>
              <w:top w:w="90" w:type="dxa"/>
              <w:start w:w="110" w:type="dxa"/>
              <w:bottom w:w="90" w:type="dxa"/>
              <w:end w:w="110" w:type="dxa"/>
            </w:tcMar>
          </w:tcPr>
          <w:p>
            <w:pPr>
              <w:spacing w:line="240" w:lineRule="auto"/>
            </w:pPr>
            <w:r>
              <w:rPr>
                <w:rFonts w:ascii="Aptos" w:hAnsi="Aptos"/>
                <w:b/>
                <w:sz w:val="17"/>
              </w:rPr>
              <w:t>Sol medium</w:t>
            </w:r>
          </w:p>
        </w:tc>
      </w:tr>
      <w:tr>
        <w:trPr>
          <w:cantSplit/>
        </w:trPr>
        <w:tc>
          <w:tcPr>
            <w:tcW w:type="dxa" w:w="1020"/>
            <w:tcMar>
              <w:top w:w="90" w:type="dxa"/>
              <w:start w:w="110" w:type="dxa"/>
              <w:bottom w:w="90" w:type="dxa"/>
              <w:end w:w="110" w:type="dxa"/>
            </w:tcMar>
            <w:shd w:fill="F4F6F8"/>
          </w:tcPr>
          <w:p>
            <w:pPr>
              <w:spacing w:line="240" w:lineRule="auto"/>
            </w:pPr>
            <w:r>
              <w:rPr>
                <w:rFonts w:ascii="Aptos" w:hAnsi="Aptos"/>
                <w:b/>
                <w:sz w:val="17"/>
              </w:rPr>
              <w:t>2</w:t>
            </w:r>
          </w:p>
        </w:tc>
        <w:tc>
          <w:tcPr>
            <w:tcW w:type="dxa" w:w="6180"/>
            <w:tcMar>
              <w:top w:w="90" w:type="dxa"/>
              <w:start w:w="110" w:type="dxa"/>
              <w:bottom w:w="90" w:type="dxa"/>
              <w:end w:w="110" w:type="dxa"/>
            </w:tcMar>
            <w:shd w:fill="F4F6F8"/>
          </w:tcPr>
          <w:p>
            <w:pPr>
              <w:spacing w:line="240" w:lineRule="auto"/>
            </w:pPr>
            <w:r>
              <w:rPr>
                <w:rFonts w:ascii="Aptos" w:hAnsi="Aptos"/>
                <w:b w:val="0"/>
                <w:sz w:val="17"/>
              </w:rPr>
              <w:t>F0-00 kapsam ve ortam sözleşmesi</w:t>
            </w:r>
          </w:p>
        </w:tc>
        <w:tc>
          <w:tcPr>
            <w:tcW w:type="dxa" w:w="2551"/>
            <w:tcMar>
              <w:top w:w="90" w:type="dxa"/>
              <w:start w:w="110" w:type="dxa"/>
              <w:bottom w:w="90" w:type="dxa"/>
              <w:end w:w="110" w:type="dxa"/>
            </w:tcMar>
            <w:shd w:fill="F4F6F8"/>
          </w:tcPr>
          <w:p>
            <w:pPr>
              <w:spacing w:line="240" w:lineRule="auto"/>
            </w:pPr>
            <w:r>
              <w:rPr>
                <w:rFonts w:ascii="Aptos" w:hAnsi="Aptos"/>
                <w:b/>
                <w:sz w:val="17"/>
              </w:rPr>
              <w:t>Sol medium</w:t>
            </w:r>
          </w:p>
        </w:tc>
      </w:tr>
      <w:tr>
        <w:trPr>
          <w:cantSplit/>
        </w:trPr>
        <w:tc>
          <w:tcPr>
            <w:tcW w:type="dxa" w:w="1020"/>
            <w:tcMar>
              <w:top w:w="90" w:type="dxa"/>
              <w:start w:w="110" w:type="dxa"/>
              <w:bottom w:w="90" w:type="dxa"/>
              <w:end w:w="110" w:type="dxa"/>
            </w:tcMar>
          </w:tcPr>
          <w:p>
            <w:pPr>
              <w:spacing w:line="240" w:lineRule="auto"/>
            </w:pPr>
            <w:r>
              <w:rPr>
                <w:rFonts w:ascii="Aptos" w:hAnsi="Aptos"/>
                <w:b/>
                <w:sz w:val="17"/>
              </w:rPr>
              <w:t>3</w:t>
            </w:r>
          </w:p>
        </w:tc>
        <w:tc>
          <w:tcPr>
            <w:tcW w:type="dxa" w:w="6180"/>
            <w:tcMar>
              <w:top w:w="90" w:type="dxa"/>
              <w:start w:w="110" w:type="dxa"/>
              <w:bottom w:w="90" w:type="dxa"/>
              <w:end w:w="110" w:type="dxa"/>
            </w:tcMar>
          </w:tcPr>
          <w:p>
            <w:pPr>
              <w:spacing w:line="240" w:lineRule="auto"/>
            </w:pPr>
            <w:r>
              <w:rPr>
                <w:rFonts w:ascii="Aptos" w:hAnsi="Aptos"/>
                <w:b w:val="0"/>
                <w:sz w:val="17"/>
              </w:rPr>
              <w:t>F0-01 robot modeli ve manifest</w:t>
            </w:r>
          </w:p>
        </w:tc>
        <w:tc>
          <w:tcPr>
            <w:tcW w:type="dxa" w:w="2551"/>
            <w:tcMar>
              <w:top w:w="90" w:type="dxa"/>
              <w:start w:w="110" w:type="dxa"/>
              <w:bottom w:w="90" w:type="dxa"/>
              <w:end w:w="110" w:type="dxa"/>
            </w:tcMar>
          </w:tcPr>
          <w:p>
            <w:pPr>
              <w:spacing w:line="240" w:lineRule="auto"/>
            </w:pPr>
            <w:r>
              <w:rPr>
                <w:rFonts w:ascii="Aptos" w:hAnsi="Aptos"/>
                <w:b/>
                <w:sz w:val="17"/>
              </w:rPr>
              <w:t>Sol medium</w:t>
            </w:r>
          </w:p>
        </w:tc>
      </w:tr>
      <w:tr>
        <w:trPr>
          <w:cantSplit/>
        </w:trPr>
        <w:tc>
          <w:tcPr>
            <w:tcW w:type="dxa" w:w="1020"/>
            <w:tcMar>
              <w:top w:w="90" w:type="dxa"/>
              <w:start w:w="110" w:type="dxa"/>
              <w:bottom w:w="90" w:type="dxa"/>
              <w:end w:w="110" w:type="dxa"/>
            </w:tcMar>
            <w:shd w:fill="F4F6F8"/>
          </w:tcPr>
          <w:p>
            <w:pPr>
              <w:spacing w:line="240" w:lineRule="auto"/>
            </w:pPr>
            <w:r>
              <w:rPr>
                <w:rFonts w:ascii="Aptos" w:hAnsi="Aptos"/>
                <w:b/>
                <w:sz w:val="17"/>
              </w:rPr>
              <w:t>4</w:t>
            </w:r>
          </w:p>
        </w:tc>
        <w:tc>
          <w:tcPr>
            <w:tcW w:type="dxa" w:w="6180"/>
            <w:tcMar>
              <w:top w:w="90" w:type="dxa"/>
              <w:start w:w="110" w:type="dxa"/>
              <w:bottom w:w="90" w:type="dxa"/>
              <w:end w:w="110" w:type="dxa"/>
            </w:tcMar>
            <w:shd w:fill="F4F6F8"/>
          </w:tcPr>
          <w:p>
            <w:pPr>
              <w:spacing w:line="240" w:lineRule="auto"/>
            </w:pPr>
            <w:r>
              <w:rPr>
                <w:rFonts w:ascii="Aptos" w:hAnsi="Aptos"/>
                <w:b w:val="0"/>
                <w:sz w:val="17"/>
              </w:rPr>
              <w:t>F0-02 bağımsız ileri kinematik</w:t>
            </w:r>
          </w:p>
        </w:tc>
        <w:tc>
          <w:tcPr>
            <w:tcW w:type="dxa" w:w="2551"/>
            <w:tcMar>
              <w:top w:w="90" w:type="dxa"/>
              <w:start w:w="110" w:type="dxa"/>
              <w:bottom w:w="90" w:type="dxa"/>
              <w:end w:w="110" w:type="dxa"/>
            </w:tcMar>
            <w:shd w:fill="F4F6F8"/>
          </w:tcPr>
          <w:p>
            <w:pPr>
              <w:spacing w:line="240" w:lineRule="auto"/>
            </w:pPr>
            <w:r>
              <w:rPr>
                <w:rFonts w:ascii="Aptos" w:hAnsi="Aptos"/>
                <w:b/>
                <w:sz w:val="17"/>
              </w:rPr>
              <w:t>Astra high</w:t>
            </w:r>
          </w:p>
        </w:tc>
      </w:tr>
    </w:tbl>
    <w:p>
      <w:pPr>
        <w:pStyle w:val="Heading2"/>
      </w:pPr>
      <w:r>
        <w:t>Kaynak ve sürüm notu</w:t>
      </w:r>
    </w:p>
    <w:p>
      <w:r>
        <w:t xml:space="preserve">Model rolleri ve fiyat bilgileri 17 Eylül 2026 tarihinde resmi OpenAI belgeleri üzerinden kontrol edilmiştir. </w:t>
      </w:r>
      <w:hyperlink r:id="rId11">
        <w:r>
          <w:rPr>
            <w:color w:val="2F66B0"/>
            <w:u w:val="single"/>
          </w:rPr>
          <w:t>GPT 5.6 Sol model sayfası</w:t>
        </w:r>
      </w:hyperlink>
      <w:r>
        <w:t xml:space="preserve"> ve </w:t>
      </w:r>
      <w:hyperlink r:id="rId12">
        <w:r>
          <w:rPr>
            <w:color w:val="2F66B0"/>
            <w:u w:val="single"/>
          </w:rPr>
          <w:t>GPT 6 Astra model sayfası</w:t>
        </w:r>
      </w:hyperlink>
      <w:r>
        <w:t>. Codex abonelik kotası ve API token fiyatlandırması aynı ölçüm değildir; bu belge görev seçimi rehberidir.</w:t>
      </w:r>
    </w:p>
    <w:p>
      <w:pPr>
        <w:pStyle w:val="Meta"/>
        <w:spacing w:before="240"/>
      </w:pPr>
      <w:r>
        <w:t>Belge revizyonu: r1  •  Proje: NeuroKinematics  •  Tarih: 17 Eylül 2026</w:t>
      </w:r>
    </w:p>
    <w:sectPr w:rsidR="00FC693F" w:rsidRPr="0006063C" w:rsidSect="00034616">
      <w:headerReference w:type="default" r:id="rId9"/>
      <w:footerReference w:type="default" r:id="rId10"/>
      <w:pgSz w:w="12240" w:h="15840"/>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473"/>
        <w:sz w:val="16"/>
      </w:rPr>
      <w:t xml:space="preserve">Sayfa </w:t>
    </w:r>
    <w:r>
      <w:rPr>
        <w:color w:val="5964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Bdr>
        <w:bottom w:val="single" w:sz="4" w:space="1" w:color="D8E0EA"/>
      </w:pBdr>
    </w:pPr>
    <w:r>
      <w:t>NEUROKİNEMATİCS  •  MODEL KULLANIM PLANI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53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6B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25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ptos Display" w:hAnsi="Aptos Display"/>
      <w:b/>
      <w:color w:val="1625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80"/>
    </w:pPr>
    <w:rPr>
      <w:rFonts w:ascii="Aptos" w:hAnsi="Aptos"/>
      <w:color w:val="5964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models/gpt-5.6-sol" TargetMode="External"/><Relationship Id="rId12" Type="http://schemas.openxmlformats.org/officeDocument/2006/relationships/hyperlink" Target="https://developers.openai.com/api/docs/models/gpt-6-as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NeuroKinematics Model Kullanım Planı</dc:title>
  <dc:subject>Roadmap görevleri için GPT 5.6 Sol ve GPT 6 Astra seçim rehberi</dc:subject>
  <dc:creator>Arda Tekgöz</dc:creator>
  <cp:keywords>NeuroKinematics, roadmap, GPT-5.6 Sol, GPT-6 Astra, Codex</cp:keywords>
  <dc:description>generated by python-docx</dc:description>
  <cp:lastModifiedBy/>
  <cp:revision>1</cp:revision>
  <dcterms:created xsi:type="dcterms:W3CDTF">2013-12-23T23:15:00Z</dcterms:created>
  <dcterms:modified xsi:type="dcterms:W3CDTF">2013-12-23T23:15:00Z</dcterms:modified>
  <cp:category/>
</cp:coreProperties>
</file>