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0046A0"/>
        </w:rPr>
        <w:t>CRISPR LAB 360° – EXTENDED FULL PROJECT REPORT (FINAL, TEAM-INTEGRATED EDITION)</w:t>
      </w:r>
    </w:p>
    <w:p>
      <w:r>
        <w:rPr>
          <w:rFonts w:ascii="Calibri" w:hAnsi="Calibri"/>
          <w:sz w:val="22"/>
        </w:rPr>
        <w:t>Comprehensive technical, scientific, pedagogical and team-integrated report for CRISPR LAB 360°.</w:t>
        <w:br/>
      </w:r>
    </w:p>
    <w:p>
      <w:pPr>
        <w:pStyle w:val="Heading1"/>
      </w:pPr>
      <w:r>
        <w:rPr>
          <w:rFonts w:ascii="Calibri" w:hAnsi="Calibri"/>
          <w:color w:val="0046A0"/>
          <w:sz w:val="28"/>
        </w:rPr>
        <w:t>1. Executive Summary (Extended)</w:t>
      </w:r>
    </w:p>
    <w:p>
      <w:r>
        <w:rPr>
          <w:rFonts w:ascii="Calibri" w:hAnsi="Calibri"/>
          <w:sz w:val="22"/>
        </w:rPr>
        <w:t>CRISPR LAB 360° is an advanced digital CRISPR/Cas9 genome-editing education and simulation platform that integrates molecular biology, computational genomics, machine-learning–based prediction models and Unity/WebGL-based interactive visualisation. It is designed to democratise access to genome-editing training for medical students, clinicians, molecular biologists, biomedical engineers and early-stage researchers who do not have regular access to high-level wet laboratory infrastructure. The platform models the full CRISPR/Cas9 workflow – from guide RNA (gRNA) design and PAM recognition through DNA cleavage, repair pathway choice (NHEJ/HDR) and mutation outcomes – within an intuitive, game-like virtual laboratory environment.</w:t>
      </w:r>
    </w:p>
    <w:p>
      <w:r>
        <w:rPr>
          <w:rFonts w:ascii="Calibri" w:hAnsi="Calibri"/>
          <w:sz w:val="22"/>
        </w:rPr>
        <w:t>Beyond reproducing the biology of genome editing, CRISPR LAB 360° embeds a structured educational design: scenario-based learning, problem-based tasks, multi-step missions, progress dashboards, formative assessments and adaptive difficulty. The system is fully web-based, device-independent and designed to support bilingual delivery (Turkish–English) to serve students in Türkiye and internationally.</w:t>
      </w:r>
    </w:p>
    <w:p>
      <w:pPr>
        <w:pStyle w:val="Heading1"/>
      </w:pPr>
      <w:r>
        <w:rPr>
          <w:rFonts w:ascii="Calibri" w:hAnsi="Calibri"/>
          <w:color w:val="0046A0"/>
          <w:sz w:val="28"/>
        </w:rPr>
        <w:t>2. Problem Definition and Rationale</w:t>
      </w:r>
    </w:p>
    <w:p>
      <w:r>
        <w:rPr>
          <w:rFonts w:ascii="Calibri" w:hAnsi="Calibri"/>
          <w:sz w:val="22"/>
        </w:rPr>
        <w:t>Hands-on CRISPR training is globally restricted by biosafety requirements, high consumable costs, limited access to specialised equipment and a shortage of expert instructors. In Türkiye, most undergraduate and medical curricula present CRISPR only at a theoretical level; students rarely design gRNAs, analyse PAM motifs or interpret mutation outcomes in a practical, experiment-like setting. As a result, there is a structural disconnect between emerging genome-editing technologies and the training pipelines that will generate future researchers and clinicians.</w:t>
      </w:r>
    </w:p>
    <w:p>
      <w:r>
        <w:rPr>
          <w:rFonts w:ascii="Calibri" w:hAnsi="Calibri"/>
          <w:sz w:val="22"/>
        </w:rPr>
        <w:t>CRISPR LAB 360° is conceived to address this gap by providing a safe, low-cost, scalable and deeply interactive virtual laboratory. The project aims to: (1) lower the barrier of entry to CRISPR/Cas9 education; (2) provide realistic, scientifically consistent simulations; (3) couple biology and computation in a single interface; and (4) create a model that can be replicated across Turkish universities and beyond.</w:t>
      </w:r>
    </w:p>
    <w:p>
      <w:pPr>
        <w:pStyle w:val="Heading1"/>
      </w:pPr>
      <w:r>
        <w:rPr>
          <w:rFonts w:ascii="Calibri" w:hAnsi="Calibri"/>
          <w:color w:val="0046A0"/>
          <w:sz w:val="28"/>
        </w:rPr>
        <w:t>3. Scientific Background – CRISPR/Cas9 Mechanistic Overview</w:t>
      </w:r>
    </w:p>
    <w:p>
      <w:r>
        <w:rPr>
          <w:rFonts w:ascii="Calibri" w:hAnsi="Calibri"/>
          <w:sz w:val="22"/>
        </w:rPr>
        <w:t>CRISPR/Cas9 operates through a programmable RNA-guided endonuclease that locates a target DNA sequence adjacent to a protospacer adjacent motif (PAM). After PAM recognition, the Cas9–gRNA complex unwinds the local DNA, forms an R-loop and, if sufficient complementarity is detected, cleaves both strands of the DNA. The cell repairs the resulting double-strand breaks (DSBs) using endogenous pathways, primarily non-homologous end joining (NHEJ) or homology-directed repair (HDR). NHEJ frequently creates small insertions and deletions (indels), which can induce frameshifts and gene knockouts, whereas HDR can precisely correct or insert defined sequences when a suitable template is present.</w:t>
      </w:r>
    </w:p>
    <w:p>
      <w:r>
        <w:rPr>
          <w:rFonts w:ascii="Calibri" w:hAnsi="Calibri"/>
          <w:sz w:val="22"/>
        </w:rPr>
        <w:t>In CRISPR LAB 360°, this mechanistic framework is implemented in a modular scientific engine that allows the user to observe and influence key decision points: target selection, gRNA design, PAM choice, DSB formation and the balance between NHEJ- and HDR-derived outcomes. The engine is informed by peer-reviewed CRISPR scoring tools, Addgene plasmid standards and NCBI reference genomes.</w:t>
      </w:r>
    </w:p>
    <w:p>
      <w:pPr>
        <w:pStyle w:val="Heading1"/>
      </w:pPr>
      <w:r>
        <w:rPr>
          <w:rFonts w:ascii="Calibri" w:hAnsi="Calibri"/>
          <w:color w:val="0046A0"/>
          <w:sz w:val="28"/>
        </w:rPr>
        <w:t>4. Scientific Engine – Modelling and Algorithms</w:t>
      </w:r>
    </w:p>
    <w:p>
      <w:r>
        <w:rPr>
          <w:rFonts w:ascii="Calibri" w:hAnsi="Calibri"/>
          <w:sz w:val="22"/>
        </w:rPr>
        <w:t>The scientific engine of CRISPR LAB 360° combines rule-based models and empirical scoring functions. It performs gRNA efficiency prediction, mismatch-tolerance evaluation and GC-content optimisation. PAM detection covers canonical SpCas9 NGG sites, Cas12a TTTV sites and an extensible dictionary for engineered PAM-flexible nucleases. For each CRISPR experiment, the engine calculates a cleavage probability profile across the target site, represented as a probabilistic window around the cut position.</w:t>
      </w:r>
    </w:p>
    <w:p>
      <w:r>
        <w:rPr>
          <w:rFonts w:ascii="Calibri" w:hAnsi="Calibri"/>
          <w:sz w:val="22"/>
        </w:rPr>
        <w:t>Repair outcomes are simulated via probabilistic NHEJ and HDR models. NHEJ indel length distributions and sequence contexts are used to estimate frameshift probabilities, while HDR success is linked to template design, homology arm length and cell-cycle assumptions. The platform then maps predicted mutations to coding sequences to determine whether they cause nonsense, missense or silent changes, and whether functional domains are affected.</w:t>
      </w:r>
    </w:p>
    <w:p>
      <w:pPr>
        <w:pStyle w:val="Heading1"/>
      </w:pPr>
      <w:r>
        <w:rPr>
          <w:rFonts w:ascii="Calibri" w:hAnsi="Calibri"/>
          <w:color w:val="0046A0"/>
          <w:sz w:val="28"/>
        </w:rPr>
        <w:t>5. Computational and Machine-Learning Architecture</w:t>
      </w:r>
    </w:p>
    <w:p>
      <w:r>
        <w:rPr>
          <w:rFonts w:ascii="Calibri" w:hAnsi="Calibri"/>
          <w:sz w:val="22"/>
        </w:rPr>
        <w:t>The computational backbone includes genome-wide off-target scanning, k-mer based search, alignment pipelines and machine-learning–supported efficiency scoring. The ML component, led by Ario (5th-year medical student) and Osman Berke (genetic engineering PhD student), uses training data derived from published CRISPR screening datasets and synthetically generated sequence–outcome pairs.</w:t>
      </w:r>
    </w:p>
    <w:p>
      <w:r>
        <w:rPr>
          <w:rFonts w:ascii="Calibri" w:hAnsi="Calibri"/>
          <w:sz w:val="22"/>
        </w:rPr>
        <w:t>Models include random forest regressors for gRNA on-target efficiency, convolutional networks for off-target risk and a rule-based overlay that incorporates known biological constraints (such as PAM necessity and seed-region mismatch penalties). The AI tutor system analyses user decisions in real time—detecting recurrent errors in gRNA design, inappropriate PAM choices or unrealistic expectations regarding HDR—and responds with targeted hints.</w:t>
      </w:r>
    </w:p>
    <w:p>
      <w:pPr>
        <w:pStyle w:val="Heading1"/>
      </w:pPr>
      <w:r>
        <w:rPr>
          <w:rFonts w:ascii="Calibri" w:hAnsi="Calibri"/>
          <w:color w:val="0046A0"/>
          <w:sz w:val="28"/>
        </w:rPr>
        <w:t>6. Unity/WebGL Simulation Framework</w:t>
      </w:r>
    </w:p>
    <w:p>
      <w:r>
        <w:rPr>
          <w:rFonts w:ascii="Calibri" w:hAnsi="Calibri"/>
          <w:sz w:val="22"/>
        </w:rPr>
        <w:t>The visual and interactive layer is implemented in Unity, with deployment via WebGL so that users can access CRISPR LAB 360° through a standard web browser. The Unity environment contains separate layers for molecular scenes (3D DNA and Cas models), interactive controls (clickable hotspots for genes, exons and mutations), user-interface panels (missions, objectives, progress) and event logic (C# scripts controlling transitions between experimental stages).</w:t>
      </w:r>
    </w:p>
    <w:p>
      <w:r>
        <w:rPr>
          <w:rFonts w:ascii="Calibri" w:hAnsi="Calibri"/>
          <w:sz w:val="22"/>
        </w:rPr>
        <w:t>Performance optimisation strategies include GPU batching, reduced draw calls, compressed textures and adaptive frame-rate management for mobile devices. The result is a responsive, visually rich simulation that remains accessible even on mid-range hardware.</w:t>
      </w:r>
    </w:p>
    <w:p>
      <w:pPr>
        <w:pStyle w:val="Heading1"/>
      </w:pPr>
      <w:r>
        <w:rPr>
          <w:rFonts w:ascii="Calibri" w:hAnsi="Calibri"/>
          <w:color w:val="0046A0"/>
          <w:sz w:val="28"/>
        </w:rPr>
        <w:t>7. UX/UI Framework and Accessibility</w:t>
      </w:r>
    </w:p>
    <w:p>
      <w:r>
        <w:rPr>
          <w:rFonts w:ascii="Calibri" w:hAnsi="Calibri"/>
          <w:sz w:val="22"/>
        </w:rPr>
        <w:t>The user experience is built around a mission-based structure: each CRISPR experiment is framed as a scenario, such as repairing a pathogenic mutation in a monogenic disease. Students are guided through target selection, gRNA design, PAM validation, simulation of editing outcomes and final interpretation of results.</w:t>
      </w:r>
    </w:p>
    <w:p>
      <w:r>
        <w:rPr>
          <w:rFonts w:ascii="Calibri" w:hAnsi="Calibri"/>
          <w:sz w:val="22"/>
        </w:rPr>
        <w:t>Accessibility and inclusivity are core design priorities. The colour palette is chosen to be colour-blind–friendly, text sizes are adjustable, and the layout is optimised for both desktop and mobile use. Tooltips, context boxes and highlight effects provide additional support for novice learners.</w:t>
      </w:r>
    </w:p>
    <w:p>
      <w:pPr>
        <w:pStyle w:val="Heading1"/>
      </w:pPr>
      <w:r>
        <w:rPr>
          <w:rFonts w:ascii="Calibri" w:hAnsi="Calibri"/>
          <w:color w:val="0046A0"/>
          <w:sz w:val="28"/>
        </w:rPr>
        <w:t>8. Pedagogical Framework</w:t>
      </w:r>
    </w:p>
    <w:p>
      <w:r>
        <w:rPr>
          <w:rFonts w:ascii="Calibri" w:hAnsi="Calibri"/>
          <w:sz w:val="22"/>
        </w:rPr>
        <w:t>The pedagogical design draws on problem-based learning, inquiry-driven science education and experiential learning models. Students actively explore the consequences of their design decisions rather than passively consuming text. The platform encourages metacognition by prompting learners to reflect on why a particular gRNA failed or why an HDR strategy did not outperform NHEJ in a specific scenario.</w:t>
      </w:r>
    </w:p>
    <w:p>
      <w:r>
        <w:rPr>
          <w:rFonts w:ascii="Calibri" w:hAnsi="Calibri"/>
          <w:sz w:val="22"/>
        </w:rPr>
        <w:t>Formative assessment is integrated into the missions via checkpoints, quizzes and automated feedback. Educators can use an instructor mode to craft custom scenarios, adjust difficulty and review aggregated anonymised performance data for their classes.</w:t>
      </w:r>
    </w:p>
    <w:p>
      <w:pPr>
        <w:pStyle w:val="Heading1"/>
      </w:pPr>
      <w:r>
        <w:rPr>
          <w:rFonts w:ascii="Calibri" w:hAnsi="Calibri"/>
          <w:color w:val="0046A0"/>
          <w:sz w:val="28"/>
        </w:rPr>
        <w:t>9. Innovation and Value Proposition</w:t>
      </w:r>
    </w:p>
    <w:p>
      <w:r>
        <w:rPr>
          <w:rFonts w:ascii="Calibri" w:hAnsi="Calibri"/>
          <w:sz w:val="22"/>
        </w:rPr>
        <w:t>CRISPR LAB 360° is, to our knowledge, the first fully integrated CRISPR/Cas9 simulation platform in Türkiye that combines high-fidelity biological modelling, advanced computation and explicit pedagogical structure. It offers a Turkish-language interface with optional English mode, supports device-independent access and reduces biosafety and cost barriers to near zero. For universities, it provides a flexible tool that can be embedded into existing genetics, molecular biology, bioengineering and medical curricula.</w:t>
      </w:r>
    </w:p>
    <w:p>
      <w:pPr>
        <w:pStyle w:val="Heading1"/>
      </w:pPr>
      <w:r>
        <w:rPr>
          <w:rFonts w:ascii="Calibri" w:hAnsi="Calibri"/>
          <w:color w:val="0046A0"/>
          <w:sz w:val="28"/>
        </w:rPr>
        <w:t>10. Full Team Structure (Final Updated Version)</w:t>
      </w:r>
    </w:p>
    <w:p>
      <w:r>
        <w:rPr>
          <w:rFonts w:ascii="Calibri" w:hAnsi="Calibri"/>
          <w:sz w:val="22"/>
        </w:rPr>
        <w:t>Executive Leadership</w:t>
        <w:br/>
        <w:t>• Ömer Osman Bişr Balcı — Project Director, 5th year Medicine</w:t>
        <w:br/>
        <w:t>• Beyan — Senior Scientific Coordinator, 6th year Medicine</w:t>
        <w:br/>
        <w:t>• Muhammet — Deputy Director, Education &amp; Operations</w:t>
        <w:br/>
        <w:t>• Ario — Machine Learning Lead, 5th year Medicine</w:t>
        <w:br/>
        <w:t>• Genetik Mühendisi (PhD) — Scientific Supervisor</w:t>
        <w:br/>
        <w:t>• Osman Berke — Genetic Engineering PhD, ML Co-Lead</w:t>
        <w:br/>
        <w:t>• New Computer Engineer — Lead Unity/WebGL Architect</w:t>
        <w:br/>
        <w:br/>
        <w:t>Unity/WebGL Development Team</w:t>
        <w:br/>
        <w:t>• Ali Emre — Developer</w:t>
        <w:br/>
        <w:t>• Hasan — WebGL Optimization</w:t>
        <w:br/>
        <w:t>• Bekir Arda Yıldırım — 4th year Medicine</w:t>
        <w:br/>
        <w:t>• Ömer Demir — 4th year Medicine</w:t>
        <w:br/>
        <w:t>• Furkan — 2nd year Medicine</w:t>
        <w:br/>
        <w:t>• Hamza Budulgan — 5th year Medicine (Üsküdar University)</w:t>
        <w:br/>
        <w:br/>
        <w:t>AI / Computational Biology Team</w:t>
        <w:br/>
        <w:t>• Ario — ML Lead</w:t>
        <w:br/>
        <w:t>• Osman Berke — ML Co-Lead</w:t>
        <w:br/>
        <w:t>• Ömer Kılıç — 4th year Medicine</w:t>
        <w:br/>
        <w:t>• Murat Emre — 4th year Medicine</w:t>
        <w:br/>
        <w:t>• Fateh — Computational Biology Researcher (Medeniyet University; TÜBİTAK 1001 Project)</w:t>
        <w:br/>
        <w:t>• AI Specialist — Embedded AI Framework</w:t>
        <w:br/>
        <w:br/>
        <w:t>UX/UI Design Team</w:t>
        <w:br/>
        <w:t>• Kağan — Preparatory Year</w:t>
        <w:br/>
        <w:t>• Furkan — UX Flow</w:t>
        <w:br/>
        <w:t>• New UX/UI Deputy Director — Team Leader</w:t>
        <w:br/>
        <w:br/>
        <w:t>Scientific &amp; Clinical Team</w:t>
        <w:br/>
        <w:t>• Ömer Şaka — 4th year Medicine (Scientific Team)</w:t>
        <w:br/>
        <w:t>• Berat — Medical Consultant, Emergency Assistant</w:t>
        <w:br/>
        <w:t>• Emirhan — Scientific Contributor</w:t>
        <w:br/>
        <w:t>• Genetik Mühendisi — CRISPR Validation</w:t>
        <w:br/>
        <w:t>• Beyan — Scientific Coordination</w:t>
      </w:r>
    </w:p>
    <w:p>
      <w:pPr>
        <w:pStyle w:val="Heading1"/>
      </w:pPr>
      <w:r>
        <w:rPr>
          <w:rFonts w:ascii="Calibri" w:hAnsi="Calibri"/>
          <w:color w:val="0046A0"/>
          <w:sz w:val="28"/>
        </w:rPr>
        <w:t>11. Work Packages and Timeline</w:t>
      </w:r>
    </w:p>
    <w:p>
      <w:r>
        <w:rPr>
          <w:rFonts w:ascii="Calibri" w:hAnsi="Calibri"/>
          <w:sz w:val="22"/>
        </w:rPr>
        <w:t>WP1 – Scientific Engine Development: detailed specification of gRNA scoring, PAM logic and repair models.</w:t>
        <w:br/>
        <w:t>WP2 – ML and Computational Backbone: training and integration of predictive models.</w:t>
        <w:br/>
        <w:t>WP3 – Unity/WebGL Simulation: scene building, animation, interaction scripting.</w:t>
        <w:br/>
        <w:t>WP4 – UX/UI and Gamification: interface polish, accessibility and engagement.</w:t>
        <w:br/>
        <w:t>WP5 – Curriculum and Assessment: mission design, quizzes, lesson plans.</w:t>
        <w:br/>
        <w:t>WP6 – Validation, Pilot Testing and Reporting: scientific review, user testing and dissemination.</w:t>
      </w:r>
    </w:p>
    <w:p>
      <w:pPr>
        <w:pStyle w:val="Heading1"/>
      </w:pPr>
      <w:r>
        <w:rPr>
          <w:rFonts w:ascii="Calibri" w:hAnsi="Calibri"/>
          <w:color w:val="0046A0"/>
          <w:sz w:val="28"/>
        </w:rPr>
        <w:t>12. Validation, Testing and Risk Analysis</w:t>
      </w:r>
    </w:p>
    <w:p>
      <w:r>
        <w:rPr>
          <w:rFonts w:ascii="Calibri" w:hAnsi="Calibri"/>
          <w:sz w:val="22"/>
        </w:rPr>
        <w:t>Validation includes multi-device technical testing, ML accuracy benchmarking against known datasets, expert review by PhD-level supervisors and pilot trials with medical and science students. Risk mitigation covers rendering performance, server scalability, model generalisation limits and user cognitive overload, for which adaptive difficulty and careful instructional design are used.</w:t>
      </w:r>
    </w:p>
    <w:p>
      <w:pPr>
        <w:pStyle w:val="Heading1"/>
      </w:pPr>
      <w:r>
        <w:rPr>
          <w:rFonts w:ascii="Calibri" w:hAnsi="Calibri"/>
          <w:color w:val="0046A0"/>
          <w:sz w:val="28"/>
        </w:rPr>
        <w:t>13. Expected Impact</w:t>
      </w:r>
    </w:p>
    <w:p>
      <w:r>
        <w:rPr>
          <w:rFonts w:ascii="Calibri" w:hAnsi="Calibri"/>
          <w:sz w:val="22"/>
        </w:rPr>
        <w:t>The project is expected to transform CRISPR education within participating institutions and serve as a model for other Turkish universities. By offering a rich, safe and reproducible virtual laboratory, CRISPR LAB 360° can support both formal teaching and independent exploration, paving the way for future research collaborations and technology transfer.</w:t>
      </w:r>
    </w:p>
    <w:p>
      <w:pPr>
        <w:pStyle w:val="Heading1"/>
      </w:pPr>
      <w:r>
        <w:rPr>
          <w:rFonts w:ascii="Calibri" w:hAnsi="Calibri"/>
          <w:color w:val="0046A0"/>
          <w:sz w:val="28"/>
        </w:rPr>
        <w:t>14. Conclusion</w:t>
      </w:r>
    </w:p>
    <w:p>
      <w:r>
        <w:rPr>
          <w:rFonts w:ascii="Calibri" w:hAnsi="Calibri"/>
          <w:sz w:val="22"/>
        </w:rPr>
        <w:t>CRISPR LAB 360° unites scientific fidelity, computational depth, visual interactivity and pedagogy into a single coherent platform. The final team-integrated edition presented here documents the biological foundations, technical implementation, educational methodology and multidisciplinary human capital underlying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