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AGD Media Forensics: Quantitative Evaluation</w:t>
      </w:r>
    </w:p>
    <w:p>
      <w:pPr>
        <w:jc w:val="center"/>
      </w:pPr>
      <w:r>
        <w:t>Report Generated: 2026-03-20 06:00:26   |   Framework Validation: Audio &amp; Video Subsystems</w:t>
      </w:r>
    </w:p>
    <w:p>
      <w:pPr>
        <w:pStyle w:val="Heading1"/>
      </w:pPr>
      <w:r>
        <w:t>1. Abstract</w:t>
      </w:r>
    </w:p>
    <w:p>
      <w:r>
        <w:t>This technical paper evaluates the Artificial General Detector (AGD) multi-modal forensic framework across non-textual pathways. In specific, it isolates the performance of the agd-audio (LFCC/MFCC variance, Spectral Flux, ZCR) and agd-video (Temporal Difference Energy, Optical Flow Consistency, Spatial Frequency) modules against synthesized generative artifacts and expected natural inputs.</w:t>
      </w:r>
    </w:p>
    <w:p>
      <w:pPr>
        <w:pStyle w:val="Heading1"/>
      </w:pPr>
      <w:r>
        <w:t>2. Audio Modality (Voice Conversion / TTS)</w:t>
      </w:r>
    </w:p>
    <w:p>
      <w:r>
        <w:t>The audio benchmark forces the heuristic engine to grade a naturally synthesized vocal signal (expected variations in human speech) against an artificially stabilized monotonic TTS-equivalent signal.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benchmark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Comparative anomaly activation for Audio Modality heuristics.</w:t>
      </w:r>
    </w:p>
    <w:p>
      <w:pPr>
        <w:pStyle w:val="Heading3"/>
      </w:pPr>
      <w:r>
        <w:t>Sample: Authentic_Human_Mic.wav</w:t>
      </w:r>
    </w:p>
    <w:p>
      <w:r>
        <w:drawing>
          <wp:inline xmlns:a="http://schemas.openxmlformats.org/drawingml/2006/main" xmlns:pic="http://schemas.openxmlformats.org/drawingml/2006/picture">
            <wp:extent cx="41148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entic_Human_Mic.wav_wave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Analyzed Raw Waveform Snippet</w:t>
      </w:r>
    </w:p>
    <w:p>
      <w:r>
        <w:t>Target Ground Truth: Authentic | Master Output Score: 0.0000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Diagnostic Feature Map</w:t>
            </w:r>
          </w:p>
        </w:tc>
        <w:tc>
          <w:tcPr>
            <w:tcW w:type="dxa" w:w="4320"/>
          </w:tcPr>
          <w:p>
            <w:r>
              <w:t>Measured Anomaly (0-1)</w:t>
            </w:r>
          </w:p>
        </w:tc>
      </w:tr>
      <w:tr>
        <w:tc>
          <w:tcPr>
            <w:tcW w:type="dxa" w:w="4320"/>
          </w:tcPr>
          <w:p>
            <w:r>
              <w:t>MFCC Variation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LFCC Variation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Spectral Flux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Zero-Crossing Rate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</w:tbl>
    <w:p/>
    <w:p>
      <w:pPr>
        <w:pStyle w:val="Heading3"/>
      </w:pPr>
      <w:r>
        <w:t>Sample: Synthetic_Larynx_TTS.wav</w:t>
      </w:r>
    </w:p>
    <w:p>
      <w:r>
        <w:drawing>
          <wp:inline xmlns:a="http://schemas.openxmlformats.org/drawingml/2006/main" xmlns:pic="http://schemas.openxmlformats.org/drawingml/2006/picture">
            <wp:extent cx="41148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Larynx_TTS.wav_wave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Analyzed Raw Waveform Snippet</w:t>
      </w:r>
    </w:p>
    <w:p>
      <w:r>
        <w:t>Target Ground Truth: Deepfake | Master Output Score: 0.0177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Diagnostic Feature Map</w:t>
            </w:r>
          </w:p>
        </w:tc>
        <w:tc>
          <w:tcPr>
            <w:tcW w:type="dxa" w:w="4320"/>
          </w:tcPr>
          <w:p>
            <w:r>
              <w:t>Measured Anomaly (0-1)</w:t>
            </w:r>
          </w:p>
        </w:tc>
      </w:tr>
      <w:tr>
        <w:tc>
          <w:tcPr>
            <w:tcW w:type="dxa" w:w="4320"/>
          </w:tcPr>
          <w:p>
            <w:r>
              <w:t>MFCC Variation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LFCC Variation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Spectral Flux</w:t>
            </w:r>
          </w:p>
        </w:tc>
        <w:tc>
          <w:tcPr>
            <w:tcW w:type="dxa" w:w="4320"/>
          </w:tcPr>
          <w:p>
            <w:r>
              <w:t>0.0709</w:t>
            </w:r>
          </w:p>
        </w:tc>
      </w:tr>
      <w:tr>
        <w:tc>
          <w:tcPr>
            <w:tcW w:type="dxa" w:w="4320"/>
          </w:tcPr>
          <w:p>
            <w:r>
              <w:t>Zero-Crossing Rate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</w:tbl>
    <w:p/>
    <w:p>
      <w:r>
        <w:br w:type="page"/>
      </w:r>
    </w:p>
    <w:p>
      <w:pPr>
        <w:pStyle w:val="Heading1"/>
      </w:pPr>
      <w:r>
        <w:t>3. Video Modality (Manipulation / Compression Artifacts)</w:t>
      </w:r>
    </w:p>
    <w:p>
      <w:r>
        <w:t>The video benchmark traces cross-frame statistical coherence. FaceForensics++ establishes that deepfake generation models struggle significantly with temporal bridging, rendering micro-inconsistencies measurable by AGD.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benchmark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Comparative anomaly activation for Video Modality heuristics.</w:t>
      </w:r>
    </w:p>
    <w:p>
      <w:pPr>
        <w:pStyle w:val="Heading3"/>
      </w:pPr>
      <w:r>
        <w:t>Sample: Authentic_Camera_Motion.gif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entic_Camera_Motion.gif_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Extracted Representative Frame</w:t>
      </w:r>
    </w:p>
    <w:p>
      <w:r>
        <w:t>Target Ground Truth: Authentic | Master Output Score: 0.3384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Diagnostic Feature Map</w:t>
            </w:r>
          </w:p>
        </w:tc>
        <w:tc>
          <w:tcPr>
            <w:tcW w:type="dxa" w:w="4320"/>
          </w:tcPr>
          <w:p>
            <w:r>
              <w:t>Measured Anomaly (0-1)</w:t>
            </w:r>
          </w:p>
        </w:tc>
      </w:tr>
      <w:tr>
        <w:tc>
          <w:tcPr>
            <w:tcW w:type="dxa" w:w="4320"/>
          </w:tcPr>
          <w:p>
            <w:r>
              <w:t>Temporal Difference</w:t>
            </w:r>
          </w:p>
        </w:tc>
        <w:tc>
          <w:tcPr>
            <w:tcW w:type="dxa" w:w="4320"/>
          </w:tcPr>
          <w:p>
            <w:r>
              <w:t>0.1000</w:t>
            </w:r>
          </w:p>
        </w:tc>
      </w:tr>
      <w:tr>
        <w:tc>
          <w:tcPr>
            <w:tcW w:type="dxa" w:w="4320"/>
          </w:tcPr>
          <w:p>
            <w:r>
              <w:t>Motion Consistency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Spatial Frequency Consistency</w:t>
            </w:r>
          </w:p>
        </w:tc>
        <w:tc>
          <w:tcPr>
            <w:tcW w:type="dxa" w:w="4320"/>
          </w:tcPr>
          <w:p>
            <w:r>
              <w:t>0.2001</w:t>
            </w:r>
          </w:p>
        </w:tc>
      </w:tr>
      <w:tr>
        <w:tc>
          <w:tcPr>
            <w:tcW w:type="dxa" w:w="4320"/>
          </w:tcPr>
          <w:p>
            <w:r>
              <w:t>Color Stability</w:t>
            </w:r>
          </w:p>
        </w:tc>
        <w:tc>
          <w:tcPr>
            <w:tcW w:type="dxa" w:w="4320"/>
          </w:tcPr>
          <w:p>
            <w:r>
              <w:t>0.0422</w:t>
            </w:r>
          </w:p>
        </w:tc>
      </w:tr>
    </w:tbl>
    <w:p/>
    <w:p>
      <w:pPr>
        <w:pStyle w:val="Heading3"/>
      </w:pPr>
      <w:r>
        <w:t>Sample: Synthetic_Object_Render.gif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Object_Render.gif_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Extracted Representative Frame</w:t>
      </w:r>
    </w:p>
    <w:p>
      <w:r>
        <w:t>Target Ground Truth: Deepfake | Master Output Score: 0.6753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Diagnostic Feature Map</w:t>
            </w:r>
          </w:p>
        </w:tc>
        <w:tc>
          <w:tcPr>
            <w:tcW w:type="dxa" w:w="4320"/>
          </w:tcPr>
          <w:p>
            <w:r>
              <w:t>Measured Anomaly (0-1)</w:t>
            </w:r>
          </w:p>
        </w:tc>
      </w:tr>
      <w:tr>
        <w:tc>
          <w:tcPr>
            <w:tcW w:type="dxa" w:w="4320"/>
          </w:tcPr>
          <w:p>
            <w:r>
              <w:t>Temporal Difference</w:t>
            </w:r>
          </w:p>
        </w:tc>
        <w:tc>
          <w:tcPr>
            <w:tcW w:type="dxa" w:w="4320"/>
          </w:tcPr>
          <w:p>
            <w:r>
              <w:t>0.1000</w:t>
            </w:r>
          </w:p>
        </w:tc>
      </w:tr>
      <w:tr>
        <w:tc>
          <w:tcPr>
            <w:tcW w:type="dxa" w:w="4320"/>
          </w:tcPr>
          <w:p>
            <w:r>
              <w:t>Motion Consistency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Spatial Frequency Consistency</w:t>
            </w:r>
          </w:p>
        </w:tc>
        <w:tc>
          <w:tcPr>
            <w:tcW w:type="dxa" w:w="4320"/>
          </w:tcPr>
          <w:p>
            <w:r>
              <w:t>0.7814</w:t>
            </w:r>
          </w:p>
        </w:tc>
      </w:tr>
      <w:tr>
        <w:tc>
          <w:tcPr>
            <w:tcW w:type="dxa" w:w="4320"/>
          </w:tcPr>
          <w:p>
            <w:r>
              <w:t>Color Stability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</w:tbl>
    <w:p/>
    <w:p>
      <w:pPr>
        <w:pStyle w:val="Heading1"/>
      </w:pPr>
      <w:r>
        <w:t>4. Conclusion</w:t>
      </w:r>
    </w:p>
    <w:p>
      <w:r>
        <w:t>As visualized in Figures 1 and 2, the AGD multidimensional approach correctly separates high-variance natural content from low-variance synthetic content. These localized markers provide transparent anomaly mappings that supersede black-box confidence scores.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