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Task 08 page one &amp; entity.</w:t>
      </w:r>
    </w:p>
    <w:p>
      <w:pPr>
        <w:pStyle w:val="Normal"/>
        <w:bidi w:val="0"/>
        <w:jc w:val="start"/>
        <w:rPr/>
      </w:pPr>
      <w:r>
        <w:rPr/>
        <w:t>First page content understanding fixture.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Task 08 page two.</w:t>
      </w:r>
    </w:p>
    <w:p>
      <w:pPr>
        <w:pStyle w:val="Normal"/>
        <w:bidi w:val="0"/>
        <w:jc w:val="start"/>
        <w:rPr/>
      </w:pPr>
      <w:r>
        <w:rPr/>
        <w:t>Second page content and bounded comment fixture.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