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POSTMAN EVIDENCE - CHECKOUT FLOW</w:t>
        <w:br/>
        <w:t>Waktu Eksekusi: 2026-07-23 15:27:35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"id":"LandingPage-17847952560001051",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e2885924-6412-4920-8759-58dd092ddaea","createdTime":"2026-07-23T08:27:36.191Z","referenceId":"MILandingPage-17847952560001051","expirationTime":"2026-07-23T09:27:36.191Z","status":"unpaid","amount":1029,"currency":"IDR","paymentSources":["cybersource","mtiiso","bniapiva","cimb","gopay","indodana","kredivo","ovo","mandiriapiva","bridirectdebit","bricard","btniso","ocbciso","mtiqris"],"urls":{"selections":"https://tst.yokke.co.id:2443/checkout/tYrTr15MZhMmGg3Q73iDjs","checkout":"https://tst.yokke.co.id:2443/checkout/tYrTr15MZhMmGg3Q73iDjs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LandingPage-17847952560001051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https://tst.yokke.co.id:2443/checkout/tYrTr15MZhMmGg3Q73iDjs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2026-07-23T08:27:35Z</dcterms:created>
  <dc:creator>Apache POI</dc:creator>
</cp:coreProperties>
</file>