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POSTMAN EVIDENCE - CHECKOUT FLOW</w:t>
        <w:br/>
        <w:t>Waktu Eksekusi: 2026-07-14 10:17:50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"id":"LandingPage-17839990709526502",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b494e9f5-b26b-4882-8e88-fc1b72a441ef","createdTime":"2026-07-14T03:17:51.119Z","referenceId":"MILandingPage-17839990709526502","expirationTime":"2026-07-14T04:17:51.119Z","status":"unpaid","amount":1029,"currency":"IDR","paymentSources":["cybersource","mtiiso","bniapiva","cimb","gopay","indodana","kredivo","ovo","mandiriapiva","bridirectdebit","bricard","btniso","ocbciso","mtiqris"],"urls":{"selections":"https://tst.yokke.co.id:2443/checkout/oikQ1Bg7KGd8YTKcKXWvF6","checkout":"https://tst.yokke.co.id:2443/checkout/oikQ1Bg7KGd8YTKcKXWvF6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MILandingPage-17839990709526502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https://tst.yokke.co.id:2443/checkout/oikQ1Bg7KGd8YTKcKXWvF6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2026-07-14T03:17:50Z</dcterms:created>
  <dc:creator>Apache POI</dc:creator>
</cp:coreProperties>
</file>