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Tabel Kuesioner Penelitian (Revisi)</w:t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Catatan: Item-item berikut telah direvisi untuk menghilangkan pernyataan double-barreled sesuai masukan penguji. Setiap item kini hanya mengukur satu objek dan satu atribut.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</w:rPr>
        <w:t xml:space="preserve">A.1. Variabel Eksogen: Kapabilitas Organisasi (Reflektif)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000"/>
        <w:gridCol w:w="2360"/>
      </w:tblGrid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Kode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Indikator / Pernyataan Kuesioner</w:t>
            </w:r>
          </w:p>
        </w:tc>
        <w:tc>
          <w:tcPr>
            <w:tcW w:type="dxa" w:w="2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Sumber Rujukan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Infrastruktur Teknologi (Technological Infrastructure)</w:t>
            </w:r>
          </w:p>
        </w:tc>
        <w:tc>
          <w:tcPr>
            <w:tcW w:type="dxa" w:w="2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Bharadwaj (2000); Wang et al. (2019)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TI1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Jaringan komputer di rumah sakit saya berfungsi dengan stabil.</w:t>
            </w:r>
          </w:p>
        </w:tc>
        <w:tc>
          <w:tcPr>
            <w:tcW w:type="dxa" w:w="2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TI2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Perangkat komputer yang tersedia memadai untuk menjalankan aplikasi analisis data.</w:t>
            </w:r>
          </w:p>
        </w:tc>
        <w:tc>
          <w:tcPr>
            <w:tcW w:type="dxa" w:w="2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TI3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Sistem data klinis (seperti EMR/SIMRS) terintegrasi dengan baik antar-unit.</w:t>
            </w:r>
          </w:p>
        </w:tc>
        <w:tc>
          <w:tcPr>
            <w:tcW w:type="dxa" w:w="2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TI4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Sistem keamanan data di rumah sakit saya memadai untuk melindungi data pasien.</w:t>
            </w:r>
          </w:p>
        </w:tc>
        <w:tc>
          <w:tcPr>
            <w:tcW w:type="dxa" w:w="2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OS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Dukungan Organisasi (Organizational Support)</w:t>
            </w:r>
          </w:p>
        </w:tc>
        <w:tc>
          <w:tcPr>
            <w:tcW w:type="dxa" w:w="2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Wade &amp; Hulland (2004); Benzidia et al. (2021)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OS1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Pimpinan rumah sakit memberikan komitmen nyata terhadap pemanfaatan data.</w:t>
            </w:r>
          </w:p>
        </w:tc>
        <w:tc>
          <w:tcPr>
            <w:tcW w:type="dxa" w:w="2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OS2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Tersedia pelatihan berkala mengenai pemanfaatan data dan teknologi informasi bagi staf.</w:t>
            </w:r>
          </w:p>
        </w:tc>
        <w:tc>
          <w:tcPr>
            <w:tcW w:type="dxa" w:w="2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OS3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Terdapat kebijakan formal yang mendorong staf untuk memanfaatkan data dalam bekerja.</w:t>
            </w:r>
          </w:p>
        </w:tc>
        <w:tc>
          <w:tcPr>
            <w:tcW w:type="dxa" w:w="2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OS4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Tersedia bantuan teknis (technical support) yang responsif jika terjadi masalah sistem.</w:t>
            </w:r>
          </w:p>
        </w:tc>
        <w:tc>
          <w:tcPr>
            <w:tcW w:type="dxa" w:w="2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DC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Kapabilitas Data (Data Capability)</w:t>
            </w:r>
          </w:p>
        </w:tc>
        <w:tc>
          <w:tcPr>
            <w:tcW w:type="dxa" w:w="2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Gupta &amp; George (2016); Wang et al. (2019)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DC1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 yang tersedia di sistem rumah sakit saya akurat.</w:t>
            </w:r>
          </w:p>
        </w:tc>
        <w:tc>
          <w:tcPr>
            <w:tcW w:type="dxa" w:w="2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DC2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Saya dapat mengakses data yang saya butuhkan dengan mudah.</w:t>
            </w:r>
          </w:p>
        </w:tc>
        <w:tc>
          <w:tcPr>
            <w:tcW w:type="dxa" w:w="2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DC3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Format data sudah terstandarisasi sehingga mudah diolah.</w:t>
            </w:r>
          </w:p>
        </w:tc>
        <w:tc>
          <w:tcPr>
            <w:tcW w:type="dxa" w:w="2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DC4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Terdapat aturan tata kelola (governance) yang jelas mengenai siapa yang boleh mengakses data.</w:t>
            </w:r>
          </w:p>
        </w:tc>
        <w:tc>
          <w:tcPr>
            <w:tcW w:type="dxa" w:w="2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300"/>
      </w:pP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</w:rPr>
        <w:t xml:space="preserve">A.2. Variabel Mediasi: Persepsi Pengguna (Reflektif)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000"/>
        <w:gridCol w:w="2360"/>
      </w:tblGrid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Kode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Indikator / Pernyataan Kuesioner</w:t>
            </w:r>
          </w:p>
        </w:tc>
        <w:tc>
          <w:tcPr>
            <w:tcW w:type="dxa" w:w="2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Sumber Rujukan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PEOU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Persepsi Kemudahan Penggunaan (Perceived Ease of Use)</w:t>
            </w:r>
          </w:p>
        </w:tc>
        <w:tc>
          <w:tcPr>
            <w:tcW w:type="dxa" w:w="2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Davis et al. (1989); Alexandra et al. (2021)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PEOU1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Saya merasa sistem BDA-AI di rumah sakit ini mudah dipelajari.</w:t>
            </w:r>
          </w:p>
        </w:tc>
        <w:tc>
          <w:tcPr>
            <w:tcW w:type="dxa" w:w="2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PEOU2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Cara mengoperasikan sistem ini mudah saya mengerti.</w:t>
            </w:r>
          </w:p>
        </w:tc>
        <w:tc>
          <w:tcPr>
            <w:tcW w:type="dxa" w:w="2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PEOU3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Mengoperasikan sistem ini tidak memerlukan usaha mental yang besar.</w:t>
            </w:r>
          </w:p>
        </w:tc>
        <w:tc>
          <w:tcPr>
            <w:tcW w:type="dxa" w:w="2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PEOU4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Secara keseluruhan, sistem ini mudah digunakan.</w:t>
            </w:r>
          </w:p>
        </w:tc>
        <w:tc>
          <w:tcPr>
            <w:tcW w:type="dxa" w:w="2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PU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Persepsi Kegunaan (Perceived Usefulness)</w:t>
            </w:r>
          </w:p>
        </w:tc>
        <w:tc>
          <w:tcPr>
            <w:tcW w:type="dxa" w:w="2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Venkatesh &amp; Davis (2000); Davis et al. (1989)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PU1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Menggunakan sistem ini meningkatkan kinerja pekerjaan saya.</w:t>
            </w:r>
          </w:p>
        </w:tc>
        <w:tc>
          <w:tcPr>
            <w:tcW w:type="dxa" w:w="2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PU2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Menggunakan sistem ini meningkatkan produktivitas saya.</w:t>
            </w:r>
          </w:p>
        </w:tc>
        <w:tc>
          <w:tcPr>
            <w:tcW w:type="dxa" w:w="2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PU3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Sistem ini membantu saya mengambil keputusan kerja dengan lebih efektif.</w:t>
            </w:r>
          </w:p>
        </w:tc>
        <w:tc>
          <w:tcPr>
            <w:tcW w:type="dxa" w:w="2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PU4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Secara keseluruhan, sistem ini bermanfaat bagi pekerjaan saya.</w:t>
            </w:r>
          </w:p>
        </w:tc>
        <w:tc>
          <w:tcPr>
            <w:tcW w:type="dxa" w:w="2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BI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Niat Perilaku (Behavioral Intention)</w:t>
            </w:r>
          </w:p>
        </w:tc>
        <w:tc>
          <w:tcPr>
            <w:tcW w:type="dxa" w:w="2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Venkatesh &amp; Davis (2000); Alexandra et al. (2021)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BI1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Saya berniat menggunakan sistem BDA-AI ini dalam rutinitas pekerjaan saya di masa depan.</w:t>
            </w:r>
          </w:p>
        </w:tc>
        <w:tc>
          <w:tcPr>
            <w:tcW w:type="dxa" w:w="2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BI2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Saya akan menggunakan sistem ini sesering mungkin jika memiliki akses.</w:t>
            </w:r>
          </w:p>
        </w:tc>
        <w:tc>
          <w:tcPr>
            <w:tcW w:type="dxa" w:w="2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BI3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Saya akan merekomendasikan rekan kerja lain untuk menggunakan sistem ini.</w:t>
            </w:r>
          </w:p>
        </w:tc>
        <w:tc>
          <w:tcPr>
            <w:tcW w:type="dxa" w:w="2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300"/>
      </w:pP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</w:rPr>
        <w:t xml:space="preserve">A.3. Variabel Endogen: Kesiapan Organisasi (Formatif)</w:t>
      </w:r>
    </w:p>
    <w:p>
      <w:pPr>
        <w:spacing w:after="1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Catatan Metodologis: Variabel ini diukur secara formatif. Indikator di bawah adalah komponen pembentuk kesiapan, bukan cerminan sikap. Item Global (READ_G) digunakan khusus untuk validasi statistik.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500"/>
        <w:gridCol w:w="1200"/>
        <w:gridCol w:w="1760"/>
      </w:tblGrid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Kode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Indikator / Pernyataan Kuesioner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Dimensi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Sumber Rujukan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READ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Kesiapan Organisasi (Organizational Readiness)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Ghaleb et al. (2023); Tenggono et al. (2024)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READ1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Rumah sakit kami memiliki prosedur kerja (SOP) yang jelas untuk pemanfaatan analitik data.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Proses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READ2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Rumah sakit kami memiliki tim khusus yang bertanggung jawab atas pengelolaan data.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SDM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READ3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Rumah sakit kami mengalokasikan anggaran khusus untuk pengembangan teknologi data.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Sumber Daya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READ4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Budaya kerja di unit kami terbuka terhadap inovasi digital.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Budaya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READ_G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Indikator Global (untuk Validasi Redundansi)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Hair et al. (2022)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READ_G1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Secara keseluruhan, saya menilai rumah sakit kami sudah siap untuk mengadopsi BDA-AI.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Global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300"/>
      </w:pP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</w:rPr>
        <w:t xml:space="preserve">Ringkasan Perubahan dari Versi Sebelumnya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TI1: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"internet dan intranet" serta "stabil dan dapat diandalkan" disederhanakan menjadi satu objek (jaringan komputer) dan satu atribut (stabil). [Double-barreled 2x]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TI2: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"komputer/perangkat keras" disederhanakan menjadi "perangkat komputer". [Minor]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TI3: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Hapus frasa redundan "(tidak terpisah-pisah)". [Minor]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TI4: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"privasi/sekuriti" diganti menjadi "keamanan data" sebagai konsep tunggal. [Double-barreled]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OS2: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"teknologi/analitik data" disatukan menjadi "data dan teknologi informasi". [Double-barreled]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OS3: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"kebijakan atau insentif" dipilih satu: "kebijakan formal". [Double-barreled]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DC1: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"akurat dan dapat dipercaya" dipilih satu atribut: "akurat". [Double-barreled]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DC2: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"mudah dan cepat" dipilih satu atribut: "mudah". [Double-barreled]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PEOU2: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"jelas dan mudah dimengerti" disederhanakan menjadi "mudah saya mengerti". [Double-barreled]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PU3: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"klinis/manajerial" diganti menjadi "keputusan kerja" agar berlaku universal untuk semua profesi responden. [Double-barreled]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READ1: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"SOP/Prosedur" disederhanakan menjadi "prosedur kerja (SOP)" dengan klarifikasi. [Minor]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READ2: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"Tim/Komite" dipilih satu: "tim khusus"; "data dan AI" dipilih satu: "pengelolaan data". [Double-barreled 2x]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READ4: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Hapus kata "sangat" yang bersifat leading/mengarahkan jawaban. [Minor]</w:t>
      </w:r>
    </w:p>
    <w:sectPr>
      <w:pgSz w:w="11906" w:h="16838" w:orient="portrait"/>
      <w:pgMar w:top="1440" w:right="144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2026-02-14T02:29:55.830Z</dcterms:created>
  <dcterms:modified xsi:type="dcterms:W3CDTF">2026-02-14T02:29:55.832Z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