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B6E2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Kuantifikasi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AI pada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Transformasi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Pasar Tenaga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Global dan Indonesia</w:t>
      </w:r>
    </w:p>
    <w:p w14:paraId="78CFB56B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I. Executive Summary: A Quantitative Overview</w:t>
      </w:r>
    </w:p>
    <w:p w14:paraId="536FC859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(AI)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fundamental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lanskap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global.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terletak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ditandai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disrupsi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redefinisi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menyajikan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terfokus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membedah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mensintesis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otoritatif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terkemuka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jernih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menggarisbawahi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imperatif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para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pemimpin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65EF8E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melampaui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narasi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simplistis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"robot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alih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augmentasi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kapabilitas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kemunculan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terbayangkan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sentral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diangkat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prospek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pengangguran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massal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terhindarkan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reskilling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upskilling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menjembatani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Tabel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menyajikan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proyeksi-proyeksi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fondasi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BA3B94F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Tabel 1: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Ringkasan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Kuantitatif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AI pada Pasar Tenaga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631"/>
        <w:gridCol w:w="2300"/>
        <w:gridCol w:w="2390"/>
      </w:tblGrid>
      <w:tr w:rsidR="000A1443" w:rsidRPr="000A1443" w14:paraId="7562CCDA" w14:textId="77777777" w:rsidTr="000A1443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8D14F" w14:textId="77777777" w:rsidR="000A1443" w:rsidRPr="000A1443" w:rsidRDefault="000A1443" w:rsidP="000A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Metrik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2AABA" w14:textId="77777777" w:rsidR="000A1443" w:rsidRPr="000A1443" w:rsidRDefault="000A1443" w:rsidP="000A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Proyeksi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Global</w:t>
            </w:r>
          </w:p>
        </w:tc>
        <w:tc>
          <w:tcPr>
            <w:tcW w:w="0" w:type="auto"/>
            <w:vAlign w:val="center"/>
            <w:hideMark/>
          </w:tcPr>
          <w:p w14:paraId="626C721E" w14:textId="77777777" w:rsidR="000A1443" w:rsidRPr="000A1443" w:rsidRDefault="000A1443" w:rsidP="000A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Proyeksi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Spesifik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Indonesia</w:t>
            </w:r>
          </w:p>
        </w:tc>
      </w:tr>
      <w:tr w:rsidR="000A1443" w:rsidRPr="000A1443" w14:paraId="1B7CA28D" w14:textId="77777777" w:rsidTr="000A1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ACDF" w14:textId="77777777" w:rsidR="000A1443" w:rsidRPr="000A1443" w:rsidRDefault="000A1443" w:rsidP="000A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Hilang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/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Tergantikan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(Displacement)</w:t>
            </w:r>
          </w:p>
        </w:tc>
        <w:tc>
          <w:tcPr>
            <w:tcW w:w="0" w:type="auto"/>
            <w:vAlign w:val="center"/>
            <w:hideMark/>
          </w:tcPr>
          <w:p w14:paraId="0D49D396" w14:textId="77777777" w:rsidR="000A1443" w:rsidRPr="000A1443" w:rsidRDefault="000A1443" w:rsidP="000A1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92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tergantikan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tahun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2030 (WEF).   </w:t>
            </w:r>
          </w:p>
        </w:tc>
        <w:tc>
          <w:tcPr>
            <w:tcW w:w="0" w:type="auto"/>
            <w:vAlign w:val="center"/>
            <w:hideMark/>
          </w:tcPr>
          <w:p w14:paraId="6446DC89" w14:textId="77777777" w:rsidR="000A1443" w:rsidRPr="000A1443" w:rsidRDefault="000A1443" w:rsidP="000A1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300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setara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purna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waktu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"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terpapar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"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otomatisasi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(Goldman Sachs).   </w:t>
            </w:r>
          </w:p>
        </w:tc>
        <w:tc>
          <w:tcPr>
            <w:tcW w:w="0" w:type="auto"/>
            <w:vAlign w:val="center"/>
            <w:hideMark/>
          </w:tcPr>
          <w:p w14:paraId="0D8752B5" w14:textId="77777777" w:rsidR="000A1443" w:rsidRPr="000A1443" w:rsidRDefault="000A1443" w:rsidP="000A1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Hingga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23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berpotensi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tergantikan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otomatisasi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tahun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2030 (McKinsey).   </w:t>
            </w:r>
          </w:p>
        </w:tc>
      </w:tr>
      <w:tr w:rsidR="000A1443" w:rsidRPr="000A1443" w14:paraId="40AA46DB" w14:textId="77777777" w:rsidTr="000A1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C8ED" w14:textId="77777777" w:rsidR="000A1443" w:rsidRPr="000A1443" w:rsidRDefault="000A1443" w:rsidP="000A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Baru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(Creation)</w:t>
            </w:r>
          </w:p>
        </w:tc>
        <w:tc>
          <w:tcPr>
            <w:tcW w:w="0" w:type="auto"/>
            <w:vAlign w:val="center"/>
            <w:hideMark/>
          </w:tcPr>
          <w:p w14:paraId="764CED6F" w14:textId="77777777" w:rsidR="000A1443" w:rsidRPr="000A1443" w:rsidRDefault="000A1443" w:rsidP="000A1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170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baru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tercipta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tahun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2030 (WEF).   </w:t>
            </w:r>
          </w:p>
        </w:tc>
        <w:tc>
          <w:tcPr>
            <w:tcW w:w="0" w:type="auto"/>
            <w:vAlign w:val="center"/>
            <w:hideMark/>
          </w:tcPr>
          <w:p w14:paraId="003DA427" w14:textId="77777777" w:rsidR="000A1443" w:rsidRPr="000A1443" w:rsidRDefault="000A1443" w:rsidP="000A1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27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hingga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46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baru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tercipta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tahun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2030,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termasuk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10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jenis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belum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saat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(McKinsey).   </w:t>
            </w:r>
          </w:p>
        </w:tc>
        <w:tc>
          <w:tcPr>
            <w:tcW w:w="0" w:type="auto"/>
            <w:vAlign w:val="center"/>
            <w:hideMark/>
          </w:tcPr>
          <w:p w14:paraId="57CF2423" w14:textId="77777777" w:rsidR="000A1443" w:rsidRPr="000A1443" w:rsidRDefault="000A1443" w:rsidP="000A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A1443" w:rsidRPr="000A1443" w14:paraId="46FD9F58" w14:textId="77777777" w:rsidTr="000A1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D1640" w14:textId="77777777" w:rsidR="000A1443" w:rsidRPr="000A1443" w:rsidRDefault="000A1443" w:rsidP="000A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Efek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Netto (Net Effect)</w:t>
            </w:r>
          </w:p>
        </w:tc>
        <w:tc>
          <w:tcPr>
            <w:tcW w:w="0" w:type="auto"/>
            <w:vAlign w:val="center"/>
            <w:hideMark/>
          </w:tcPr>
          <w:p w14:paraId="76FB7528" w14:textId="77777777" w:rsidR="000A1443" w:rsidRPr="000A1443" w:rsidRDefault="000A1443" w:rsidP="000A1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Kenaikan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netto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+78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secara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global (WEF).   </w:t>
            </w:r>
          </w:p>
        </w:tc>
        <w:tc>
          <w:tcPr>
            <w:tcW w:w="0" w:type="auto"/>
            <w:vAlign w:val="center"/>
            <w:hideMark/>
          </w:tcPr>
          <w:p w14:paraId="27CA6C8E" w14:textId="77777777" w:rsidR="000A1443" w:rsidRPr="000A1443" w:rsidRDefault="000A1443" w:rsidP="000A1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Kenaikan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netto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+4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hingga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+23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juta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(McKinsey).   </w:t>
            </w:r>
          </w:p>
        </w:tc>
        <w:tc>
          <w:tcPr>
            <w:tcW w:w="0" w:type="auto"/>
            <w:vAlign w:val="center"/>
            <w:hideMark/>
          </w:tcPr>
          <w:p w14:paraId="1BB34227" w14:textId="77777777" w:rsidR="000A1443" w:rsidRPr="000A1443" w:rsidRDefault="000A1443" w:rsidP="000A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0A1443" w:rsidRPr="000A1443" w14:paraId="00625F8B" w14:textId="77777777" w:rsidTr="000A1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D042" w14:textId="77777777" w:rsidR="000A1443" w:rsidRPr="000A1443" w:rsidRDefault="000A1443" w:rsidP="000A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Bertahan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/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Transformasi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(Transformation)</w:t>
            </w:r>
          </w:p>
        </w:tc>
        <w:tc>
          <w:tcPr>
            <w:tcW w:w="0" w:type="auto"/>
            <w:vAlign w:val="center"/>
            <w:hideMark/>
          </w:tcPr>
          <w:p w14:paraId="6E002CEB" w14:textId="77777777" w:rsidR="000A1443" w:rsidRPr="000A1443" w:rsidRDefault="000A1443" w:rsidP="000A1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1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dari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4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pekerja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global</w:t>
            </w:r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berada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terpapar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GenAI (ILO).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Sekitar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  </w:t>
            </w:r>
          </w:p>
        </w:tc>
        <w:tc>
          <w:tcPr>
            <w:tcW w:w="0" w:type="auto"/>
            <w:vAlign w:val="center"/>
            <w:hideMark/>
          </w:tcPr>
          <w:p w14:paraId="17C83560" w14:textId="77777777" w:rsidR="000A1443" w:rsidRPr="000A1443" w:rsidRDefault="000A1443" w:rsidP="000A14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30%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aktivitas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60%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jenis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dapat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diotomatisasi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(McKinsey).   </w:t>
            </w:r>
          </w:p>
        </w:tc>
        <w:tc>
          <w:tcPr>
            <w:tcW w:w="0" w:type="auto"/>
            <w:vAlign w:val="center"/>
            <w:hideMark/>
          </w:tcPr>
          <w:p w14:paraId="76B45D0B" w14:textId="77777777" w:rsidR="000A1443" w:rsidRPr="000A1443" w:rsidRDefault="000A1443" w:rsidP="000A1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global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mengenai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transformasi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sangat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relevan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sebagian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besar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pekerjaan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mengalami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augmentasi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perubahan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alur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kerja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bukan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eliminasi</w:t>
            </w:r>
            <w:proofErr w:type="spellEnd"/>
            <w:r w:rsidRPr="000A144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total.</w:t>
            </w:r>
          </w:p>
        </w:tc>
      </w:tr>
    </w:tbl>
    <w:p w14:paraId="58F80460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II.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Kuantitatif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Global: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Disrupsi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vs.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Kreasi</w:t>
      </w:r>
      <w:proofErr w:type="spellEnd"/>
    </w:p>
    <w:p w14:paraId="3DCCCF83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paling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dahsyat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simultan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gelombang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mendisrupsi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disrupsi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melampaui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kehilangan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netto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gejolak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41A762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2.1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Gelombang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Otomatisasi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Mengukur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Perpindahan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(Job Displacement)</w:t>
      </w:r>
    </w:p>
    <w:p w14:paraId="72BF4FC9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sorotan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membedakan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institusi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disrupsi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Goldman Sachs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memproyeksikan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global,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memaparkan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"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expose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300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posisi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purna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waktu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Angka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300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pekerjaan-pekerjaan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seperempat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beban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digantikan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diaugmentasi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AI. "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Paparan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terkonsentrasi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administratif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profesi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ruangan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paparan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064D585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World Economic Forum (WEF),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"Future of Jobs Report 2025",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memperkirakan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92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penurunan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"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displaced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dekade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2030. Ini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mencerminkan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"churn"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perputaran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pasar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tulis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sekretaris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teller bank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penurunan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276020C4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Perspektif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McKinsey Global Institute dan OECD. McKinsey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memperkirakan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30%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total jam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saat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Eropa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Amerika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Serikat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dipercepat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OECD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2DD5C3B0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27%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total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negara-negara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 Angka-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menggarisbawahi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terasa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level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eliminasi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CC11186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2.2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Mesin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Inovasi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Mengukur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Penciptaan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(Job Creation)</w:t>
      </w:r>
    </w:p>
    <w:p w14:paraId="15CA32AD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Kekuatan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penyeimbang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disrupsi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Sejarah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inovasi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penghancuran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di mana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digantikan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0906C708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WEF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eksplisit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mengkuantifikasi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memproyeksikan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tren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makro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global,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170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terkonsentrasi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Spesialis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dan Machine Learning, Analis Big Data,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Insinyur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Fintech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persentase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absolut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  </w:t>
      </w:r>
    </w:p>
    <w:p w14:paraId="640E2983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care economy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asisten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konstruksi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pengemudi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Kemunculan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pekerjaan-pekerjaan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agregat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demografis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0E5B7BDB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2.3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Persamaan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Ketenagakerjaan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Netto: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Positif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Disruptif</w:t>
      </w:r>
      <w:proofErr w:type="spellEnd"/>
    </w:p>
    <w:p w14:paraId="66AB3E4C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Ketika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perpindahan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disandingkan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lembaga-lembaga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terkemuka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netto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WEF,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170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diciptakan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92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pasar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kenaikan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netto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sebesar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78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2030.   </w:t>
      </w:r>
    </w:p>
    <w:p w14:paraId="5281DD39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netto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menyembunyikan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realitas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menantang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Angka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perputaran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churn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pasar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total 262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(92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170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berpindah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sektor-sektor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adaptasi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mobilitas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disruptif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10B7F6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lastRenderedPageBreak/>
        <w:t xml:space="preserve">III. Studi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Kasus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Kuantitatif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Indonesia: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Menavigasi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Transisi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Unik</w:t>
      </w:r>
    </w:p>
    <w:p w14:paraId="2B6E338E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Indonesia,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demografi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muda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keuntungan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netto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global.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paradoks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surplus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defisit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talenta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BCAA99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3.1 Baseline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Ketenagakerjaan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Indonesia</w:t>
      </w:r>
    </w:p>
    <w:p w14:paraId="09E98B86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skala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Pusat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(BPS) per Agustus 2024,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152,11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orang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Dari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Tingkat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Pengangguran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Terbuka (TPT)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5F9A4249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4,91%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 Angka-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fondasi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proporsional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tercipta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dekade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mendatang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BEDC39C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3.2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Identifikasi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Kerentanan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Otomatisasi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di Indonesia</w:t>
      </w:r>
    </w:p>
    <w:p w14:paraId="2B761063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McKinsey Global Institute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23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berpotensi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tergantikan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Kerentanan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merata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berisiko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proporsi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diprediksi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tugas-tugas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 Ini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menempatkan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perakitan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administrasi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perkantoran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jasa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rentan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disrupsi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16%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jam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mengindikasikan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6B5F8233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3.3 Fronter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Penciptaan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Digital dan Hijau</w:t>
      </w:r>
    </w:p>
    <w:p w14:paraId="4A12CF5E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Indonesia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ledakan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urbanisasi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McKinsey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memproyeksikan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27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hingga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46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diciptakan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2030.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4EAA3844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10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model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733D70DA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terkonsentrasi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konstruksi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jasa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akomodasi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ritel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pendorong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USD 146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miliar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2025 ,</w:t>
      </w:r>
      <w:proofErr w:type="gram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sektor-sektor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171F4778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e-commerce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finansial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menuju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hijau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insinyur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energi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terbarukan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ahli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26058C34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3.4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Efek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Netto Indonesia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Implikasinya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Paradoks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Peluang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Kesenjangan</w:t>
      </w:r>
      <w:proofErr w:type="spellEnd"/>
    </w:p>
    <w:p w14:paraId="3DE076EA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kehilangan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23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46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netto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penambahan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bersih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hingga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23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Prospek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menempatkan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menguntungkan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agregat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optimis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Paradoks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Indonesia".   </w:t>
      </w:r>
    </w:p>
    <w:p w14:paraId="673EC88C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negara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surplus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McKinsey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diciptakan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Bank Dunia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menyoroti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defisit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talenta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parah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Diperkirakan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9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terampil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semi-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terampil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bidang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Informasi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Komunikasi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(TIK)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2015 dan 2030.   </w:t>
      </w:r>
    </w:p>
    <w:p w14:paraId="6EA07F05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Ketika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—surplus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McKinsey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defisit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talenta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Bank Dunia—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disandingkan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mengkhawatirkan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Indonesia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berisiko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menuju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lowongan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terpolarisasi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gaji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analitis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terjebak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pengangguran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ketiadaan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skills gap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memperlebar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ketidaksetaraan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35CCB1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IV.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Melampaui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Angka: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Transformasi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Struktural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Pekerjaan</w:t>
      </w:r>
      <w:proofErr w:type="spellEnd"/>
    </w:p>
    <w:p w14:paraId="10FA6F1B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tercipta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kehilangan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revolusi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fundamental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Narasi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narasi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augmentasi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pengganti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Pergeseran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krusial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851940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4.1 Sifat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Disrupsi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Pengangguran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Transisional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Struktural</w:t>
      </w:r>
      <w:proofErr w:type="spellEnd"/>
    </w:p>
    <w:p w14:paraId="7726A029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Potensi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kenaikan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pengangguran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permanen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massal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digambarkan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pengangguran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transisional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Pengangguran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transisional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jeda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kehilangan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dilatih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Pengangguran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ketidakcocokan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mendasar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pasar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skills gap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penyebab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friksi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pasar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ketiadaan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DB4519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4.2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Imperatif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Augmentasi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Bagaimana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AI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Mengubah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Bukan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Mengakhiri,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Pekerjaan</w:t>
      </w:r>
      <w:proofErr w:type="spellEnd"/>
    </w:p>
    <w:p w14:paraId="39F6A1D4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Bukti paling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narasi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kiamat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task-based analysis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McKinsey Global Institute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hanya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sekitar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5%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diotomatisasi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sepenuhnya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temuan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sekitar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45AB2260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60%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semua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memiliki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setidaknya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30%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aktivitas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konstituen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augmentasi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digantikan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AI,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515286FA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bersama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mendelegasikan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tugas-tugas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aspek-aspek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11174F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International Labour Organization (ILO)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pandangan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ILO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global,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satu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empat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paparan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3,3%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total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global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paparan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tugas-tugasnya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variabilitas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ILO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menyimpulkan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efek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meluas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pelengkap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  </w:t>
      </w:r>
    </w:p>
    <w:p w14:paraId="38B82085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augment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kapabilitas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riset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Stanford AI Index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mengkonfirmasi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0AC45A99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mempersempit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kesenjangan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berketerampilan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rendah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tinggi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pemberdaya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29D44F9D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4.3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Pekerja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Tangguh: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Mengidentifikasi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Peran yang Paling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Dibutuhkan</w:t>
      </w:r>
      <w:proofErr w:type="spellEnd"/>
    </w:p>
    <w:p w14:paraId="50FEFE12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lanskap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WEF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serangkaian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inti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era AI.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puncak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pemikiran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analitis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pemikiran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kreatif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6165CFAE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ketahanan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fleksibilitas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kelincahan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resilience, flexibility, and agility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);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motivasi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kesadaran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rasa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ingin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tahu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pembelajaran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seumur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hidup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curiosity and lifelong learning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19DD2992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AI dan Big Data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diproyeksikan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tumbuh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549073F8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Skala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peningkatan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WEF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memperkirakan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rata-rata,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39%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inti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seorang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berubah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usang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2030. Angka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mengkuantifikasi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urgensi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imperatif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 </w:t>
      </w:r>
    </w:p>
    <w:p w14:paraId="44BDD832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reskilling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upskilling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tangguh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resilient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kapabilitas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inheren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manusiawi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empati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tinggi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kecerdasan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sosial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emosional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pemecahan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masalah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kompleks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negosiasi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kreativitas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orisinal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masa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penguasaan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penguatan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kualitas-kualitas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421BCD9B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V.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Evaluasi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Kritis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Imperatif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Strategis</w:t>
      </w:r>
      <w:proofErr w:type="spellEnd"/>
    </w:p>
    <w:p w14:paraId="3FAB8C2D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Angka-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sumber-sumber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kredibel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ramalan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pasti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 Angka-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serangkaian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batasan-batasan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merumuskan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strategi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masa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semata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pilihan-pilihan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institusi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2D5E29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5.1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Rekonsiliasi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Proyeksi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Catatan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tentang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Metodologi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Asumsi</w:t>
      </w:r>
      <w:proofErr w:type="spellEnd"/>
    </w:p>
    <w:p w14:paraId="6E820D21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diukur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Goldman Sachs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paparan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" (</w:t>
      </w: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exposure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(300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WEF,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perpindahan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(   </w:t>
      </w:r>
    </w:p>
    <w:p w14:paraId="0E3E9AB6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displacement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penurunan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(92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ILO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gradien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paparan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(   </w:t>
      </w:r>
    </w:p>
    <w:p w14:paraId="12C1E501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exposure gradients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bernuansa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variabilitas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menyimpulkan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eliminasi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Metrik-metrik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bertentangan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lensa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337B0346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Selain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efektivitas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intervensi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Stanford AI Index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korporat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meroket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55%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2023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78%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2024. Tren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skenario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adopsi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kenyataan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menggarisbawahi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urgensi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bertindak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113958D8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5.2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Variabel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Manusia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Faktor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Penentu</w:t>
      </w:r>
      <w:proofErr w:type="spellEnd"/>
    </w:p>
    <w:p w14:paraId="601203B9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Proyeksi-proyeksi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perkiraan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tekno-ekonomi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bisa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kapabilitas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deterministik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dipengaruhi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kolektif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WEF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85%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perusahaan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disurvei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berencana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memprioritaskan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peningkatan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angkatan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mereka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Keputusan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proaktif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signifikan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memitigasi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disrupsi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mempercepat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peran-peran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  </w:t>
      </w:r>
    </w:p>
    <w:p w14:paraId="2E25C552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Indonesia,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digariskan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Bappenas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Induk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dorongan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Kementerian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Digital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percepatan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kebijakan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lintasan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berinvestasi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infrastruktur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mereformasi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kurikulum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seumur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penentu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ditawarkan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proyeksi-proyeksi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takdir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terhindarkan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panggilan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bertindak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  </w:t>
      </w:r>
    </w:p>
    <w:p w14:paraId="7A0FB0F4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call to action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Masa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domain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nasib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047C7F" w14:textId="77777777" w:rsidR="000A1443" w:rsidRPr="000A1443" w:rsidRDefault="000A1443" w:rsidP="000A1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VI. Kesimpulan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Kritis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: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Revolusi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Transformasi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Peningkatan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Keterampilan</w:t>
      </w:r>
      <w:proofErr w:type="spellEnd"/>
    </w:p>
    <w:p w14:paraId="1228F7B8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otoritatif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kesimpulan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suram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pengangguran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massal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didorong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era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transformasi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mendalam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meluas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industri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Narasi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ditindaklanjuti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kehilangan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B410AE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sentral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dihadapi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pasar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tenaga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dan Indonesia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kelangkaan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kelangkaan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pekerjaan-pekerjaan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jelas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jutaan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rutin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kreativitas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pemikiran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kritis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kecerdasan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sosial-emosional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penawaran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zaman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F0BDF3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Paradoks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Indonesia"—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prospek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surplus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defisit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talenta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parah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gamblang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Negara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ambang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luar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biasa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direalisasikan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kesenjangan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masif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dijembatani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intervensi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terarah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Indonesia dan negara-negara 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lain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berisiko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polarisasi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segelintir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mayoritas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B3EBD8" w14:textId="77777777" w:rsidR="000A1443" w:rsidRPr="000A1443" w:rsidRDefault="000A1443" w:rsidP="000A1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Oleh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strategis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krusial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individu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mencoba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gelombang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mempersiapkan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menghadapinya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komitmen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global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Revolusi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Peningkatan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 (</w:t>
      </w:r>
      <w:r w:rsidRPr="000A144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Reskilling Revolution</w:t>
      </w:r>
      <w:r w:rsidRPr="000A144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kejuruan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platform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seumur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hidup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keharusan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Menavigasi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era AI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sukses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memberdayakan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aset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ketahanan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beradaptasi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dunia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0A144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DAF2B2" w14:textId="7D8F1EED" w:rsidR="003C2564" w:rsidRDefault="003C2564"/>
    <w:p w14:paraId="76A26055" w14:textId="4E568EFF" w:rsidR="00F7542F" w:rsidRDefault="00F7542F"/>
    <w:p w14:paraId="69B898B0" w14:textId="77777777" w:rsidR="00F7542F" w:rsidRDefault="00F7542F"/>
    <w:sectPr w:rsidR="00F7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43"/>
    <w:rsid w:val="000A1443"/>
    <w:rsid w:val="001C1240"/>
    <w:rsid w:val="003C2564"/>
    <w:rsid w:val="003E30CD"/>
    <w:rsid w:val="00F7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14E9"/>
  <w15:chartTrackingRefBased/>
  <w15:docId w15:val="{64DD0B62-8751-448D-8FB9-7B1E79DC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0A1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0A1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4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0A144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A1443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A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button-container">
    <w:name w:val="button-container"/>
    <w:basedOn w:val="DefaultParagraphFont"/>
    <w:rsid w:val="000A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2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3529</Words>
  <Characters>20121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ardiwiryawan777@gmail.com</dc:creator>
  <cp:keywords/>
  <dc:description/>
  <cp:lastModifiedBy>ardiwiryawan777@gmail.com</cp:lastModifiedBy>
  <cp:revision>1</cp:revision>
  <dcterms:created xsi:type="dcterms:W3CDTF">2025-08-31T09:07:00Z</dcterms:created>
  <dcterms:modified xsi:type="dcterms:W3CDTF">2025-09-03T06:33:00Z</dcterms:modified>
</cp:coreProperties>
</file>