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5F17BECA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7B6B2FCF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520AB5CE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E510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5A1616FA" w:rsidR="009B4A07" w:rsidRDefault="00E4214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2D01EB85">
                <wp:simplePos x="0" y="0"/>
                <wp:positionH relativeFrom="column">
                  <wp:posOffset>2331720</wp:posOffset>
                </wp:positionH>
                <wp:positionV relativeFrom="paragraph">
                  <wp:posOffset>135890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7A523016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 w:rsidR="0093461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年</w:t>
                            </w:r>
                          </w:p>
                          <w:p w14:paraId="758DA727" w14:textId="3721F566" w:rsidR="00B53B90" w:rsidRPr="0093461B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 w:rsidR="0093461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4977008" w14:textId="38C86186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62B8F" id="文本框 69" o:spid="_x0000_s1027" type="#_x0000_t202" style="position:absolute;left:0;text-align:left;margin-left:183.6pt;margin-top:10.7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" filled="f" stroked="f">
                <v:textbox>
                  <w:txbxContent>
                    <w:p w14:paraId="1956E183" w14:textId="7A523016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93461B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 w:rsidR="0093461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年</w:t>
                      </w:r>
                    </w:p>
                    <w:p w14:paraId="758DA727" w14:textId="3721F566" w:rsidR="00B53B90" w:rsidRPr="0093461B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 w:rsidR="0093461B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 w:rsidR="0093461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4977008" w14:textId="38C86186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6A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5906E6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AA1D1C4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62C1F632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  <w:r w:rsidR="00FA7A5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，有一定的前端开发经验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62C1F632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  <w:r w:rsidR="00FA7A5A">
                        <w:rPr>
                          <w:rFonts w:ascii="微软雅黑" w:eastAsia="微软雅黑" w:hAnsi="微软雅黑" w:hint="eastAsia"/>
                          <w:sz w:val="22"/>
                        </w:rPr>
                        <w:t>，有一定的前端开发经验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660F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A612A4C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EE10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B3CD9AC" w14:textId="77777777" w:rsidR="0050413B" w:rsidRDefault="0050413B" w:rsidP="0050413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项目功能开发，老项目功能维护；</w:t>
                            </w:r>
                          </w:p>
                          <w:p w14:paraId="3877448C" w14:textId="77777777" w:rsidR="0050413B" w:rsidRDefault="0050413B" w:rsidP="0050413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528D7704" w14:textId="77777777" w:rsidR="0050413B" w:rsidRDefault="0050413B" w:rsidP="0050413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0B3CD9AC" w14:textId="77777777" w:rsidR="0050413B" w:rsidRDefault="0050413B" w:rsidP="0050413B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项目功能开发，老项目功能维护；</w:t>
                      </w:r>
                    </w:p>
                    <w:p w14:paraId="3877448C" w14:textId="77777777" w:rsidR="0050413B" w:rsidRDefault="0050413B" w:rsidP="0050413B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528D7704" w14:textId="77777777" w:rsidR="0050413B" w:rsidRDefault="0050413B" w:rsidP="0050413B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38B62E52" w14:textId="77777777" w:rsidR="0050413B" w:rsidRPr="001B24DC" w:rsidRDefault="0050413B" w:rsidP="0050413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或平台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均通过公司审核并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在实际项目中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得到实际应用；</w:t>
                            </w:r>
                          </w:p>
                          <w:p w14:paraId="401BCDDD" w14:textId="77777777" w:rsidR="0050413B" w:rsidRDefault="0050413B" w:rsidP="0050413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参与多个项目的开发同时相应的技术支撑，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05B57B78" w14:textId="77777777" w:rsidR="0050413B" w:rsidRPr="001B24DC" w:rsidRDefault="0050413B" w:rsidP="0050413B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38B62E52" w14:textId="77777777" w:rsidR="0050413B" w:rsidRPr="001B24DC" w:rsidRDefault="0050413B" w:rsidP="0050413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或平台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均通过公司审核并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在实际项目中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得到实际应用；</w:t>
                      </w:r>
                    </w:p>
                    <w:p w14:paraId="401BCDDD" w14:textId="77777777" w:rsidR="0050413B" w:rsidRDefault="0050413B" w:rsidP="0050413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参与多个项目的开发同时相应的技术支撑，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05B57B78" w14:textId="77777777" w:rsidR="0050413B" w:rsidRPr="001B24DC" w:rsidRDefault="0050413B" w:rsidP="0050413B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C12EFD2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1B33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38DE321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AB19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D72A" w14:textId="77777777" w:rsidR="00F670A0" w:rsidRDefault="00F670A0" w:rsidP="002867B6">
      <w:r>
        <w:separator/>
      </w:r>
    </w:p>
  </w:endnote>
  <w:endnote w:type="continuationSeparator" w:id="0">
    <w:p w14:paraId="1A629054" w14:textId="77777777" w:rsidR="00F670A0" w:rsidRDefault="00F670A0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3DFD" w14:textId="77777777" w:rsidR="00F670A0" w:rsidRDefault="00F670A0" w:rsidP="002867B6">
      <w:r>
        <w:separator/>
      </w:r>
    </w:p>
  </w:footnote>
  <w:footnote w:type="continuationSeparator" w:id="0">
    <w:p w14:paraId="211C9F40" w14:textId="77777777" w:rsidR="00F670A0" w:rsidRDefault="00F670A0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1740470991">
    <w:abstractNumId w:val="0"/>
  </w:num>
  <w:num w:numId="2" w16cid:durableId="987129174">
    <w:abstractNumId w:val="1"/>
  </w:num>
  <w:num w:numId="3" w16cid:durableId="111166971">
    <w:abstractNumId w:val="4"/>
  </w:num>
  <w:num w:numId="4" w16cid:durableId="1824197665">
    <w:abstractNumId w:val="2"/>
  </w:num>
  <w:num w:numId="5" w16cid:durableId="1535801593">
    <w:abstractNumId w:val="5"/>
  </w:num>
  <w:num w:numId="6" w16cid:durableId="657615761">
    <w:abstractNumId w:val="7"/>
  </w:num>
  <w:num w:numId="7" w16cid:durableId="937829046">
    <w:abstractNumId w:val="6"/>
  </w:num>
  <w:num w:numId="8" w16cid:durableId="1649943375">
    <w:abstractNumId w:val="8"/>
  </w:num>
  <w:num w:numId="9" w16cid:durableId="1809712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413B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077B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3461B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6722F"/>
    <w:rsid w:val="00D93148"/>
    <w:rsid w:val="00DB1D2D"/>
    <w:rsid w:val="00DD0985"/>
    <w:rsid w:val="00DD4B0F"/>
    <w:rsid w:val="00DE3490"/>
    <w:rsid w:val="00E050EE"/>
    <w:rsid w:val="00E20A63"/>
    <w:rsid w:val="00E34FFC"/>
    <w:rsid w:val="00E42142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670A0"/>
    <w:rsid w:val="00F8575C"/>
    <w:rsid w:val="00FA7A5A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88</cp:revision>
  <dcterms:created xsi:type="dcterms:W3CDTF">2017-07-04T11:36:00Z</dcterms:created>
  <dcterms:modified xsi:type="dcterms:W3CDTF">2022-04-06T11:27:00Z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