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569A"/>
          </w:tcPr>
          <w:p>
            <w:pPr>
              <w:spacing w:before="240" w:after="240"/>
              <w:jc w:val="center"/>
            </w:pPr>
            <w:r>
              <w:rPr>
                <w:b/>
                <w:color w:val="FFFFFF"/>
                <w:sz w:val="20"/>
              </w:rPr>
              <w:t>AREA2 (HK) LIMITED  |  Digital Marketing Report</w:t>
            </w:r>
          </w:p>
        </w:tc>
      </w:tr>
    </w:tbl>
    <w:p/>
    <w:p/>
    <w:p/>
    <w:p/>
    <w:p>
      <w:pPr>
        <w:spacing w:before="0" w:after="160"/>
        <w:jc w:val="center"/>
      </w:pPr>
      <w:r>
        <w:rPr>
          <w:b/>
          <w:color w:val="1A569A"/>
          <w:sz w:val="72"/>
        </w:rPr>
        <w:t>Green Tea</w:t>
      </w:r>
    </w:p>
    <w:p>
      <w:pPr>
        <w:spacing w:before="0" w:after="320"/>
        <w:jc w:val="center"/>
      </w:pPr>
      <w:r>
        <w:rPr>
          <w:b/>
          <w:color w:val="1E1E2D"/>
          <w:sz w:val="56"/>
        </w:rPr>
        <w:t>SEM 成效報告</w:t>
      </w:r>
    </w:p>
    <w:p>
      <w:pPr>
        <w:spacing w:before="80" w:after="320"/>
        <w:jc w:val="center"/>
      </w:pPr>
      <w:r>
        <w:rPr>
          <w:color w:val="B88A2F"/>
          <w:sz w:val="24"/>
        </w:rPr>
        <w:t>━━━━━━━━━━━━━━━━━━━━━━━━━━━━━━━━</w:t>
      </w:r>
    </w:p>
    <w:p>
      <w:pPr>
        <w:spacing w:before="0" w:after="160"/>
        <w:jc w:val="center"/>
      </w:pPr>
      <w:r>
        <w:rPr>
          <w:b/>
          <w:color w:val="B88A2F"/>
          <w:sz w:val="24"/>
        </w:rPr>
        <w:t>分析期間 Analysis Period</w:t>
      </w:r>
    </w:p>
    <w:p>
      <w:pPr>
        <w:spacing w:before="0" w:after="480"/>
        <w:jc w:val="center"/>
      </w:pPr>
      <w:r>
        <w:rPr>
          <w:b/>
          <w:color w:val="1E1E2D"/>
          <w:sz w:val="32"/>
        </w:rPr>
        <w:t>2026年1月22日 — 2026年2月22日（32天）</w:t>
      </w:r>
    </w:p>
    <w:p>
      <w:pPr>
        <w:spacing w:before="0" w:after="160"/>
        <w:jc w:val="center"/>
      </w:pPr>
      <w:r>
        <w:rPr>
          <w:b/>
          <w:color w:val="1A569A"/>
          <w:sz w:val="26"/>
        </w:rPr>
        <w:t>廣告平台：Google Ads</w:t>
      </w:r>
    </w:p>
    <w:p/>
    <w:p/>
    <w:p/>
    <w:p/>
    <w:p/>
    <w:p/>
    <w:p>
      <w:pPr>
        <w:spacing w:before="0" w:after="80"/>
        <w:jc w:val="center"/>
      </w:pPr>
      <w:r>
        <w:rPr>
          <w:b/>
          <w:color w:val="B88A2F"/>
          <w:sz w:val="20"/>
        </w:rPr>
        <w:t>製作單位</w:t>
      </w:r>
    </w:p>
    <w:p>
      <w:pPr>
        <w:spacing w:before="0" w:after="80"/>
        <w:jc w:val="center"/>
      </w:pPr>
      <w:r>
        <w:rPr>
          <w:b/>
          <w:color w:val="1A569A"/>
          <w:sz w:val="28"/>
        </w:rPr>
        <w:t>Area2 (HK) Limited</w:t>
      </w:r>
    </w:p>
    <w:p>
      <w:pPr>
        <w:spacing w:before="0" w:after="0"/>
        <w:jc w:val="center"/>
      </w:pPr>
      <w:r>
        <w:rPr>
          <w:color w:val="1E1E2D"/>
          <w:sz w:val="22"/>
        </w:rPr>
        <w:t>報告日期：2026年3月12日</w:t>
      </w:r>
    </w:p>
    <w:p>
      <w:r>
        <w:br w:type="page"/>
      </w:r>
    </w:p>
    <w:p/>
    <w:p>
      <w:pPr>
        <w:spacing w:before="120" w:after="80"/>
        <w:jc w:val="left"/>
      </w:pPr>
      <w:r>
        <w:rPr>
          <w:b/>
          <w:color w:val="B88A2F"/>
          <w:sz w:val="40"/>
        </w:rPr>
        <w:t xml:space="preserve">01  </w:t>
      </w:r>
      <w:r>
        <w:rPr>
          <w:b/>
          <w:color w:val="1A569A"/>
          <w:sz w:val="40"/>
        </w:rPr>
        <w:t>Executive Summary</w:t>
      </w:r>
      <w:r>
        <w:rPr>
          <w:b w:val="0"/>
          <w:color w:val="1E1E2D"/>
          <w:sz w:val="28"/>
        </w:rPr>
        <w:t xml:space="preserve">  管理層摘要</w:t>
      </w:r>
    </w:p>
    <w:p>
      <w:pPr>
        <w:spacing w:before="0" w:after="160"/>
        <w:pBdr>
          <w:bottom w:val="single" w:sz="6" w:color="1A569A"/>
        </w:pBdr>
      </w:pPr>
    </w:p>
    <w:p>
      <w:pPr>
        <w:spacing w:before="120" w:after="240"/>
      </w:pPr>
      <w:r>
        <w:rPr>
          <w:b/>
          <w:color w:val="B88A2F"/>
          <w:sz w:val="22"/>
        </w:rPr>
        <w:t>📊 期間業績總結：</w:t>
      </w:r>
    </w:p>
    <w:p>
      <w:pPr>
        <w:spacing w:before="0" w:after="320"/>
        <w:ind w:left="283"/>
      </w:pPr>
      <w:r>
        <w:rPr>
          <w:color w:val="1E1E2D"/>
          <w:sz w:val="22"/>
        </w:rPr>
        <w:t>在2026年1月22日至2月22日的32天廣告期間，Green Tea於Google Ads平台共錄得 42,405次展示及907次點擊，整體CPA維持在HK$59.47，其中香港（HK）Campaign 實現24次轉換，CPA達HK$46.11，表現優於行業基準，廣告整體運作穩健。</w:t>
      </w:r>
    </w:p>
    <w:p>
      <w:pPr>
        <w:spacing w:before="200" w:after="80"/>
      </w:pPr>
      <w:r>
        <w:rPr>
          <w:b/>
          <w:color w:val="1A569A"/>
          <w:sz w:val="24"/>
        </w:rPr>
        <w:t>📈 整體 KPI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👁 展示次數</w:t>
              <w:br/>
              <w:t>Impressions</w:t>
            </w:r>
          </w:p>
        </w:tc>
        <w:tc>
          <w:tcPr>
            <w:tcW w:type="dxa" w:w="1296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🖱 點擊次數</w:t>
              <w:br/>
              <w:t>Clicks</w:t>
            </w:r>
          </w:p>
        </w:tc>
        <w:tc>
          <w:tcPr>
            <w:tcW w:type="dxa" w:w="1296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📊 CTR</w:t>
            </w:r>
          </w:p>
        </w:tc>
        <w:tc>
          <w:tcPr>
            <w:tcW w:type="dxa" w:w="1296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💰 平均 CPC</w:t>
            </w:r>
          </w:p>
        </w:tc>
        <w:tc>
          <w:tcPr>
            <w:tcW w:type="dxa" w:w="1296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💳 廣告費用</w:t>
              <w:br/>
              <w:t>Spend</w:t>
            </w:r>
          </w:p>
        </w:tc>
        <w:tc>
          <w:tcPr>
            <w:tcW w:type="dxa" w:w="1296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✅ 轉換次數</w:t>
              <w:br/>
              <w:t>Conversions</w:t>
            </w:r>
          </w:p>
        </w:tc>
        <w:tc>
          <w:tcPr>
            <w:tcW w:type="dxa" w:w="1296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🎯 整體 CPA</w:t>
            </w:r>
          </w:p>
        </w:tc>
      </w:tr>
      <w:tr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/>
                <w:color w:val="1A569A"/>
                <w:sz w:val="28"/>
              </w:rPr>
              <w:t>42,405</w:t>
            </w:r>
          </w:p>
        </w:tc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/>
                <w:color w:val="1A569A"/>
                <w:sz w:val="28"/>
              </w:rPr>
              <w:t>907</w:t>
            </w:r>
          </w:p>
        </w:tc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/>
                <w:color w:val="1A569A"/>
                <w:sz w:val="28"/>
              </w:rPr>
              <w:t>2.14%</w:t>
            </w:r>
          </w:p>
        </w:tc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/>
                <w:color w:val="1A569A"/>
                <w:sz w:val="28"/>
              </w:rPr>
              <w:t>HK$1.57</w:t>
            </w:r>
          </w:p>
        </w:tc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/>
                <w:color w:val="1A569A"/>
                <w:sz w:val="28"/>
              </w:rPr>
              <w:t>HK$1,427</w:t>
            </w:r>
          </w:p>
        </w:tc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/>
                <w:color w:val="1A569A"/>
                <w:sz w:val="28"/>
              </w:rPr>
              <w:t>24</w:t>
            </w:r>
          </w:p>
        </w:tc>
        <w:tc>
          <w:tcPr>
            <w:tcW w:type="dxa" w:w="1296"/>
            <w:shd w:val="clear" w:color="auto" w:fill="E8F0FB"/>
          </w:tcPr>
          <w:p>
            <w:pPr>
              <w:jc w:val="center"/>
            </w:pPr>
            <w:r>
              <w:rPr>
                <w:b/>
                <w:color w:val="1A569A"/>
                <w:sz w:val="28"/>
              </w:rPr>
              <w:t>HK$59.47</w:t>
            </w:r>
          </w:p>
        </w:tc>
      </w:tr>
    </w:tbl>
    <w:p/>
    <w:p>
      <w:pPr>
        <w:spacing w:before="200" w:after="80"/>
      </w:pPr>
      <w:r>
        <w:rPr>
          <w:b/>
          <w:color w:val="1A569A"/>
          <w:sz w:val="24"/>
        </w:rPr>
        <w:t>🔑 三大要點 Key Highlights</w:t>
      </w:r>
    </w:p>
    <w:p>
      <w:pPr>
        <w:spacing w:before="120" w:after="40"/>
        <w:ind w:left="170"/>
      </w:pPr>
      <w:r>
        <w:rPr>
          <w:b/>
          <w:color w:val="1A569A"/>
          <w:sz w:val="22"/>
        </w:rPr>
        <w:t xml:space="preserve">  1.  HK Campaign CPA 優異</w:t>
      </w:r>
    </w:p>
    <w:p>
      <w:pPr>
        <w:spacing w:before="40" w:after="160"/>
        <w:ind w:left="680"/>
      </w:pPr>
      <w:r>
        <w:rPr>
          <w:color w:val="1E1E2D"/>
          <w:sz w:val="20"/>
        </w:rPr>
        <w:t>香港廣告系列成功實現24次轉換，CPA達HK$46.11，遠低於Google Display/YouTube 行業基準HK$50–200，顯示廣告定向精準，成本效益良好。</w:t>
      </w:r>
    </w:p>
    <w:p>
      <w:pPr>
        <w:spacing w:before="120" w:after="40"/>
        <w:ind w:left="170"/>
      </w:pPr>
      <w:r>
        <w:rPr>
          <w:b/>
          <w:color w:val="1A569A"/>
          <w:sz w:val="22"/>
        </w:rPr>
        <w:t xml:space="preserve">  2.  農曆新年呈現正常季節性波動</w:t>
      </w:r>
    </w:p>
    <w:p>
      <w:pPr>
        <w:spacing w:before="40" w:after="160"/>
        <w:ind w:left="680"/>
      </w:pPr>
      <w:r>
        <w:rPr>
          <w:color w:val="1E1E2D"/>
          <w:sz w:val="20"/>
        </w:rPr>
        <w:t>新年假期期間（1月29日至2月11日）點擊量按日平均下跌37%，廣告費用同步下降，屬正常季節性現象。假期後（2月12日起）流量基本恢復至節前水平。</w:t>
      </w:r>
    </w:p>
    <w:p>
      <w:pPr>
        <w:spacing w:before="120" w:after="40"/>
        <w:ind w:left="170"/>
      </w:pPr>
      <w:r>
        <w:rPr>
          <w:b/>
          <w:color w:val="1A569A"/>
          <w:sz w:val="22"/>
        </w:rPr>
        <w:t xml:space="preserve">  3.  JP Campaign 流量質素高但缺乏成效追蹤</w:t>
      </w:r>
    </w:p>
    <w:p>
      <w:pPr>
        <w:spacing w:before="40" w:after="160"/>
        <w:ind w:left="680"/>
      </w:pPr>
      <w:r>
        <w:rPr>
          <w:color w:val="1E1E2D"/>
          <w:sz w:val="20"/>
        </w:rPr>
        <w:t>日本廣告系列CTR達3.05%，高於香港的1.88%，反映廣告內容對日本受眾吸引力強；然而目前缺乏轉換追蹤設定，無法評估其實際ROI，需儘快補設。</w:t>
      </w:r>
    </w:p>
    <w:p>
      <w:r>
        <w:br w:type="page"/>
      </w:r>
    </w:p>
    <w:p/>
    <w:p>
      <w:pPr>
        <w:spacing w:before="120" w:after="80"/>
        <w:jc w:val="left"/>
      </w:pPr>
      <w:r>
        <w:rPr>
          <w:b/>
          <w:color w:val="B88A2F"/>
          <w:sz w:val="40"/>
        </w:rPr>
        <w:t xml:space="preserve">02  </w:t>
      </w:r>
      <w:r>
        <w:rPr>
          <w:b/>
          <w:color w:val="1A569A"/>
          <w:sz w:val="40"/>
        </w:rPr>
        <w:t>Campaign Performance</w:t>
      </w:r>
      <w:r>
        <w:rPr>
          <w:b w:val="0"/>
          <w:color w:val="1E1E2D"/>
          <w:sz w:val="28"/>
        </w:rPr>
        <w:t xml:space="preserve">  廣告系列表現</w:t>
      </w:r>
    </w:p>
    <w:p>
      <w:pPr>
        <w:spacing w:before="0" w:after="160"/>
        <w:pBdr>
          <w:bottom w:val="single" w:sz="6" w:color="1A569A"/>
        </w:pBdr>
      </w:pPr>
    </w:p>
    <w:p>
      <w:pPr>
        <w:spacing w:before="200" w:after="80"/>
      </w:pPr>
      <w:r>
        <w:rPr>
          <w:b/>
          <w:color w:val="1A569A"/>
          <w:sz w:val="24"/>
        </w:rPr>
        <w:t>💰 預算分配 Budget Allocation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569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廣告系列</w:t>
            </w:r>
          </w:p>
        </w:tc>
        <w:tc>
          <w:tcPr>
            <w:tcW w:type="dxa" w:w="226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費用</w:t>
            </w:r>
          </w:p>
        </w:tc>
        <w:tc>
          <w:tcPr>
            <w:tcW w:type="dxa" w:w="226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佔比</w:t>
            </w:r>
          </w:p>
        </w:tc>
        <w:tc>
          <w:tcPr>
            <w:tcW w:type="dxa" w:w="226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主要地區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color w:val="1E1E2D"/>
                <w:sz w:val="20"/>
              </w:rPr>
              <w:t>Green Tea - HK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HK$1,106.63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78%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香港</w:t>
            </w:r>
          </w:p>
        </w:tc>
      </w:tr>
      <w:tr>
        <w:tc>
          <w:tcPr>
            <w:tcW w:type="dxa" w:w="2268"/>
            <w:shd w:val="clear" w:color="auto" w:fill="F0F5FD"/>
          </w:tcPr>
          <w:p>
            <w:pPr>
              <w:jc w:val="left"/>
            </w:pPr>
            <w:r>
              <w:rPr>
                <w:b w:val="0"/>
                <w:color w:val="1E1E2D"/>
                <w:sz w:val="20"/>
              </w:rPr>
              <w:t>Green Tea - JP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HK$320.68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22%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日本</w:t>
            </w:r>
          </w:p>
        </w:tc>
      </w:tr>
      <w:tr>
        <w:tc>
          <w:tcPr>
            <w:tcW w:type="dxa" w:w="2268"/>
            <w:shd w:val="clear" w:color="auto" w:fill="E8F0FB"/>
          </w:tcPr>
          <w:p>
            <w:pPr>
              <w:jc w:val="left"/>
            </w:pPr>
            <w:r>
              <w:rPr>
                <w:b/>
                <w:color w:val="1A569A"/>
                <w:sz w:val="20"/>
              </w:rPr>
              <w:t>合計 Total</w:t>
            </w:r>
          </w:p>
        </w:tc>
        <w:tc>
          <w:tcPr>
            <w:tcW w:type="dxa" w:w="2268"/>
            <w:shd w:val="clear" w:color="auto" w:fill="E8F0FB"/>
          </w:tcPr>
          <w:p>
            <w:pPr>
              <w:jc w:val="center"/>
            </w:pPr>
            <w:r>
              <w:rPr>
                <w:b/>
                <w:color w:val="1A569A"/>
                <w:sz w:val="20"/>
              </w:rPr>
              <w:t>HK$1,427.31</w:t>
            </w:r>
          </w:p>
        </w:tc>
        <w:tc>
          <w:tcPr>
            <w:tcW w:type="dxa" w:w="2268"/>
            <w:shd w:val="clear" w:color="auto" w:fill="E8F0FB"/>
          </w:tcPr>
          <w:p>
            <w:pPr>
              <w:jc w:val="center"/>
            </w:pPr>
            <w:r>
              <w:rPr>
                <w:b/>
                <w:color w:val="1A569A"/>
                <w:sz w:val="20"/>
              </w:rPr>
              <w:t>100%</w:t>
            </w:r>
          </w:p>
        </w:tc>
        <w:tc>
          <w:tcPr>
            <w:tcW w:type="dxa" w:w="2268"/>
            <w:shd w:val="clear" w:color="auto" w:fill="E8F0FB"/>
          </w:tcPr>
          <w:p>
            <w:pPr>
              <w:jc w:val="center"/>
            </w:pPr>
            <w:r>
              <w:rPr>
                <w:b/>
                <w:color w:val="1A569A"/>
                <w:sz w:val="20"/>
              </w:rPr>
              <w:t>—</w:t>
            </w:r>
          </w:p>
        </w:tc>
      </w:tr>
    </w:tbl>
    <w:p/>
    <w:p>
      <w:pPr>
        <w:spacing w:before="200" w:after="80"/>
      </w:pPr>
      <w:r>
        <w:rPr>
          <w:b/>
          <w:color w:val="1A569A"/>
          <w:sz w:val="24"/>
        </w:rPr>
        <w:t>📊 廣告系列詳細對比 Campaign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指標 Metric</w:t>
            </w:r>
          </w:p>
        </w:tc>
        <w:tc>
          <w:tcPr>
            <w:tcW w:type="dxa" w:w="226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Green Tea - HK 🇭🇰</w:t>
            </w:r>
          </w:p>
        </w:tc>
        <w:tc>
          <w:tcPr>
            <w:tcW w:type="dxa" w:w="226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Green Tea - JP 🇯🇵</w:t>
            </w:r>
          </w:p>
        </w:tc>
        <w:tc>
          <w:tcPr>
            <w:tcW w:type="dxa" w:w="226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合計 / 整體</w:t>
            </w:r>
          </w:p>
        </w:tc>
      </w:tr>
      <w:tr>
        <w:tc>
          <w:tcPr>
            <w:tcW w:type="dxa" w:w="2268"/>
            <w:shd w:val="clear" w:color="auto" w:fill="F0F5FD"/>
          </w:tcPr>
          <w:p>
            <w:pPr>
              <w:jc w:val="left"/>
            </w:pPr>
            <w:r>
              <w:rPr>
                <w:b/>
                <w:color w:val="1E1E2D"/>
                <w:sz w:val="20"/>
              </w:rPr>
              <w:t>展示次數 (Impressions)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20"/>
              </w:rPr>
              <w:t>32,987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20"/>
              </w:rPr>
              <w:t>9,418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20"/>
              </w:rPr>
              <w:t>42,405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color w:val="1E1E2D"/>
                <w:sz w:val="20"/>
              </w:rPr>
              <w:t>點擊次數 (Clicks)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20"/>
              </w:rPr>
              <w:t>620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20"/>
              </w:rPr>
              <w:t>287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20"/>
              </w:rPr>
              <w:t>907</w:t>
            </w:r>
          </w:p>
        </w:tc>
      </w:tr>
      <w:tr>
        <w:tc>
          <w:tcPr>
            <w:tcW w:type="dxa" w:w="2268"/>
            <w:shd w:val="clear" w:color="auto" w:fill="F0F5FD"/>
          </w:tcPr>
          <w:p>
            <w:pPr>
              <w:jc w:val="left"/>
            </w:pPr>
            <w:r>
              <w:rPr>
                <w:b/>
                <w:color w:val="1E1E2D"/>
                <w:sz w:val="20"/>
              </w:rPr>
              <w:t>CTR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20"/>
              </w:rPr>
              <w:t>1.88%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b/>
                <w:color w:val="1A569A"/>
                <w:sz w:val="20"/>
              </w:rPr>
              <w:t>3.05% ✨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20"/>
              </w:rPr>
              <w:t>2.14%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color w:val="1E1E2D"/>
                <w:sz w:val="20"/>
              </w:rPr>
              <w:t>平均 CPC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20"/>
              </w:rPr>
              <w:t>HK$1.78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569A"/>
                <w:sz w:val="20"/>
              </w:rPr>
              <w:t>HK$1.12 ✨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20"/>
              </w:rPr>
              <w:t>HK$1.57</w:t>
            </w:r>
          </w:p>
        </w:tc>
      </w:tr>
      <w:tr>
        <w:tc>
          <w:tcPr>
            <w:tcW w:type="dxa" w:w="2268"/>
            <w:shd w:val="clear" w:color="auto" w:fill="F0F5FD"/>
          </w:tcPr>
          <w:p>
            <w:pPr>
              <w:jc w:val="left"/>
            </w:pPr>
            <w:r>
              <w:rPr>
                <w:b/>
                <w:color w:val="1E1E2D"/>
                <w:sz w:val="20"/>
              </w:rPr>
              <w:t>廣告費用 (Spend)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20"/>
              </w:rPr>
              <w:t>HK$1,106.63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20"/>
              </w:rPr>
              <w:t>HK$320.68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20"/>
              </w:rPr>
              <w:t>HK$1,427.31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color w:val="1E1E2D"/>
                <w:sz w:val="20"/>
              </w:rPr>
              <w:t>轉換次數 (Conversions)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20"/>
              </w:rPr>
              <w:t>24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color w:val="CC4400"/>
                <w:sz w:val="20"/>
              </w:rPr>
              <w:t>N/A ⚠️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20"/>
              </w:rPr>
              <w:t>24</w:t>
            </w:r>
          </w:p>
        </w:tc>
      </w:tr>
      <w:tr>
        <w:tc>
          <w:tcPr>
            <w:tcW w:type="dxa" w:w="2268"/>
            <w:shd w:val="clear" w:color="auto" w:fill="F0F5FD"/>
          </w:tcPr>
          <w:p>
            <w:pPr>
              <w:jc w:val="left"/>
            </w:pPr>
            <w:r>
              <w:rPr>
                <w:b/>
                <w:color w:val="1E1E2D"/>
                <w:sz w:val="20"/>
              </w:rPr>
              <w:t>轉換率 (Conv. Rate)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20"/>
              </w:rPr>
              <w:t>3.87%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20"/>
              </w:rPr>
              <w:t>—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20"/>
              </w:rPr>
              <w:t>2.65%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color w:val="1E1E2D"/>
                <w:sz w:val="20"/>
              </w:rPr>
              <w:t>CPA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569A"/>
                <w:sz w:val="20"/>
              </w:rPr>
              <w:t>HK$46.11 ✨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20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20"/>
              </w:rPr>
              <w:t>HK$59.47</w:t>
            </w:r>
          </w:p>
        </w:tc>
      </w:tr>
    </w:tbl>
    <w:p/>
    <w:p>
      <w:pPr>
        <w:spacing w:before="200" w:after="80"/>
      </w:pPr>
      <w:r>
        <w:rPr>
          <w:b/>
          <w:color w:val="1A569A"/>
          <w:sz w:val="24"/>
        </w:rPr>
        <w:t>🔍 HK vs JP 表現對比分析</w:t>
      </w:r>
    </w:p>
    <w:p>
      <w:pPr>
        <w:spacing w:before="120" w:after="40"/>
        <w:ind w:left="170"/>
      </w:pPr>
      <w:r>
        <w:rPr>
          <w:b/>
          <w:color w:val="1A569A"/>
          <w:sz w:val="22"/>
        </w:rPr>
        <w:t>▶  HK Campaign（主力Campaign）</w:t>
      </w:r>
    </w:p>
    <w:p>
      <w:pPr>
        <w:spacing w:before="40" w:after="120"/>
        <w:ind w:left="567"/>
      </w:pPr>
      <w:r>
        <w:rPr>
          <w:color w:val="1E1E2D"/>
          <w:sz w:val="20"/>
        </w:rPr>
        <w:t>承擔78%預算，點擊量620次，成功轉換24次（轉換率3.87%），CPA達HK$46.11。作為主要收入來源的廣告系列，HK Campaign整體表現穩定且成本效益優異。</w:t>
      </w:r>
    </w:p>
    <w:p>
      <w:pPr>
        <w:spacing w:before="120" w:after="40"/>
        <w:ind w:left="170"/>
      </w:pPr>
      <w:r>
        <w:rPr>
          <w:b/>
          <w:color w:val="1A569A"/>
          <w:sz w:val="22"/>
        </w:rPr>
        <w:t>▶  JP Campaign（品牌曝光Campaign）</w:t>
      </w:r>
    </w:p>
    <w:p>
      <w:pPr>
        <w:spacing w:before="40" w:after="120"/>
        <w:ind w:left="567"/>
      </w:pPr>
      <w:r>
        <w:rPr>
          <w:color w:val="1E1E2D"/>
          <w:sz w:val="20"/>
        </w:rPr>
        <w:t>僅佔22%預算，卻獲得較高CTR（3.05% vs HK 1.88%），反映廣告素材對日本受眾吸引力強，CPC亦較低（HK$1.12 vs HK$1.78）。惟無轉換追蹤，無法計算ROI。</w:t>
      </w:r>
    </w:p>
    <w:p>
      <w:pPr>
        <w:spacing w:before="120" w:after="40"/>
        <w:ind w:left="170"/>
      </w:pPr>
      <w:r>
        <w:rPr>
          <w:b/>
          <w:color w:val="1A569A"/>
          <w:sz w:val="22"/>
        </w:rPr>
        <w:t>▶  兩者差異解讀</w:t>
      </w:r>
    </w:p>
    <w:p>
      <w:pPr>
        <w:spacing w:before="40" w:after="120"/>
        <w:ind w:left="567"/>
      </w:pPr>
      <w:r>
        <w:rPr>
          <w:color w:val="1E1E2D"/>
          <w:sz w:val="20"/>
        </w:rPr>
        <w:t>JP的高CTR配合低CPC，顯示日本市場仍有增長潛力，建議完善轉換追蹤後，再考慮是否增加JP預算比例。</w:t>
      </w:r>
    </w:p>
    <w:p>
      <w:r>
        <w:br w:type="page"/>
      </w:r>
    </w:p>
    <w:p/>
    <w:p>
      <w:pPr>
        <w:spacing w:before="120" w:after="80"/>
        <w:jc w:val="left"/>
      </w:pPr>
      <w:r>
        <w:rPr>
          <w:b/>
          <w:color w:val="B88A2F"/>
          <w:sz w:val="40"/>
        </w:rPr>
        <w:t xml:space="preserve">03  </w:t>
      </w:r>
      <w:r>
        <w:rPr>
          <w:b/>
          <w:color w:val="1A569A"/>
          <w:sz w:val="40"/>
        </w:rPr>
        <w:t>Daily Trend Analysis</w:t>
      </w:r>
      <w:r>
        <w:rPr>
          <w:b w:val="0"/>
          <w:color w:val="1E1E2D"/>
          <w:sz w:val="28"/>
        </w:rPr>
        <w:t xml:space="preserve">  每日趨勢分析</w:t>
      </w:r>
    </w:p>
    <w:p>
      <w:pPr>
        <w:spacing w:before="0" w:after="160"/>
        <w:pBdr>
          <w:bottom w:val="single" w:sz="6" w:color="1A569A"/>
        </w:pBdr>
      </w:pPr>
    </w:p>
    <w:p>
      <w:pPr>
        <w:spacing w:before="200" w:after="80"/>
      </w:pPr>
      <w:r>
        <w:rPr>
          <w:b/>
          <w:color w:val="1A569A"/>
          <w:sz w:val="24"/>
        </w:rPr>
        <w:t>📅 農曆新年三段時期對比 CNY Period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時期 Period</w:t>
            </w:r>
          </w:p>
        </w:tc>
        <w:tc>
          <w:tcPr>
            <w:tcW w:type="dxa" w:w="181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日期範圍</w:t>
            </w:r>
          </w:p>
        </w:tc>
        <w:tc>
          <w:tcPr>
            <w:tcW w:type="dxa" w:w="181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平均點擊/天</w:t>
            </w:r>
          </w:p>
        </w:tc>
        <w:tc>
          <w:tcPr>
            <w:tcW w:type="dxa" w:w="181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平均費用/天</w:t>
            </w:r>
          </w:p>
        </w:tc>
        <w:tc>
          <w:tcPr>
            <w:tcW w:type="dxa" w:w="181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變化</w:t>
            </w:r>
          </w:p>
        </w:tc>
      </w:tr>
      <w:tr>
        <w:tc>
          <w:tcPr>
            <w:tcW w:type="dxa" w:w="1814"/>
            <w:shd w:val="clear" w:color="auto" w:fill="E8F5E8"/>
          </w:tcPr>
          <w:p>
            <w:pPr>
              <w:jc w:val="left"/>
            </w:pPr>
            <w:r>
              <w:rPr>
                <w:b/>
                <w:color w:val="1E1E2D"/>
                <w:sz w:val="20"/>
              </w:rPr>
              <w:t>農曆新年前 Pre-CNY</w:t>
            </w:r>
          </w:p>
        </w:tc>
        <w:tc>
          <w:tcPr>
            <w:tcW w:type="dxa" w:w="1814"/>
            <w:shd w:val="clear" w:color="auto" w:fill="E8F5E8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Jan 22 – Jan 28</w:t>
            </w:r>
          </w:p>
        </w:tc>
        <w:tc>
          <w:tcPr>
            <w:tcW w:type="dxa" w:w="1814"/>
            <w:shd w:val="clear" w:color="auto" w:fill="E8F5E8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33.6次</w:t>
            </w:r>
          </w:p>
        </w:tc>
        <w:tc>
          <w:tcPr>
            <w:tcW w:type="dxa" w:w="1814"/>
            <w:shd w:val="clear" w:color="auto" w:fill="E8F5E8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HK$55.68</w:t>
            </w:r>
          </w:p>
        </w:tc>
        <w:tc>
          <w:tcPr>
            <w:tcW w:type="dxa" w:w="1814"/>
            <w:shd w:val="clear" w:color="auto" w:fill="E8F5E8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基準 Baseline</w:t>
            </w:r>
          </w:p>
        </w:tc>
      </w:tr>
      <w:tr>
        <w:tc>
          <w:tcPr>
            <w:tcW w:type="dxa" w:w="1814"/>
            <w:shd w:val="clear" w:color="auto" w:fill="FDF0E8"/>
          </w:tcPr>
          <w:p>
            <w:pPr>
              <w:jc w:val="left"/>
            </w:pPr>
            <w:r>
              <w:rPr>
                <w:b/>
                <w:color w:val="1E1E2D"/>
                <w:sz w:val="20"/>
              </w:rPr>
              <w:t>農曆新年期間 CNY</w:t>
            </w:r>
          </w:p>
        </w:tc>
        <w:tc>
          <w:tcPr>
            <w:tcW w:type="dxa" w:w="1814"/>
            <w:shd w:val="clear" w:color="auto" w:fill="FDF0E8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Jan 29 – Feb 11</w:t>
            </w:r>
          </w:p>
        </w:tc>
        <w:tc>
          <w:tcPr>
            <w:tcW w:type="dxa" w:w="1814"/>
            <w:shd w:val="clear" w:color="auto" w:fill="FDF0E8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21.3次</w:t>
            </w:r>
          </w:p>
        </w:tc>
        <w:tc>
          <w:tcPr>
            <w:tcW w:type="dxa" w:w="1814"/>
            <w:shd w:val="clear" w:color="auto" w:fill="FDF0E8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HK$36.75</w:t>
            </w:r>
          </w:p>
        </w:tc>
        <w:tc>
          <w:tcPr>
            <w:tcW w:type="dxa" w:w="1814"/>
            <w:shd w:val="clear" w:color="auto" w:fill="FDF0E8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▼ -37% 🔴</w:t>
            </w:r>
          </w:p>
        </w:tc>
      </w:tr>
      <w:tr>
        <w:tc>
          <w:tcPr>
            <w:tcW w:type="dxa" w:w="1814"/>
            <w:shd w:val="clear" w:color="auto" w:fill="E8F5E8"/>
          </w:tcPr>
          <w:p>
            <w:pPr>
              <w:jc w:val="left"/>
            </w:pPr>
            <w:r>
              <w:rPr>
                <w:b/>
                <w:color w:val="1E1E2D"/>
                <w:sz w:val="20"/>
              </w:rPr>
              <w:t>農曆新年後 Post-CNY</w:t>
            </w:r>
          </w:p>
        </w:tc>
        <w:tc>
          <w:tcPr>
            <w:tcW w:type="dxa" w:w="1814"/>
            <w:shd w:val="clear" w:color="auto" w:fill="E8F5E8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Feb 12 – Feb 22</w:t>
            </w:r>
          </w:p>
        </w:tc>
        <w:tc>
          <w:tcPr>
            <w:tcW w:type="dxa" w:w="1814"/>
            <w:shd w:val="clear" w:color="auto" w:fill="E8F5E8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32.0次</w:t>
            </w:r>
          </w:p>
        </w:tc>
        <w:tc>
          <w:tcPr>
            <w:tcW w:type="dxa" w:w="1814"/>
            <w:shd w:val="clear" w:color="auto" w:fill="E8F5E8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HK$45.89</w:t>
            </w:r>
          </w:p>
        </w:tc>
        <w:tc>
          <w:tcPr>
            <w:tcW w:type="dxa" w:w="1814"/>
            <w:shd w:val="clear" w:color="auto" w:fill="E8F5E8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↑ 基本恢復 🟢</w:t>
            </w:r>
          </w:p>
        </w:tc>
      </w:tr>
    </w:tbl>
    <w:p/>
    <w:p>
      <w:pPr>
        <w:spacing w:before="200" w:after="80"/>
      </w:pPr>
      <w:r>
        <w:rPr>
          <w:b/>
          <w:color w:val="1A569A"/>
          <w:sz w:val="24"/>
        </w:rPr>
        <w:t>📌 農曆新年影響分析</w:t>
      </w:r>
    </w:p>
    <w:p>
      <w:pPr>
        <w:spacing w:before="80" w:after="160"/>
        <w:ind w:left="170"/>
      </w:pPr>
      <w:r>
        <w:rPr>
          <w:color w:val="1E1E2D"/>
          <w:sz w:val="20"/>
        </w:rPr>
        <w:t>農曆新年假期（2026年1月29日至2月11日）期間，整體廣告流量按日平均下跌37%，廣告費用由每日平均HK$55.68降至HK$36.75，符合香港市場農曆新年搜尋/瀏覽量下降的典型規律。此為正常季節性波動，並非廣告效果下滑，毋需擔憂。</w:t>
        <w:br/>
        <w:br/>
        <w:t>值得留意的是，節後（2月12日起）流量已快速回升至接近節前水平，反映廣告定向設定健康，受眾回流積極。</w:t>
      </w:r>
    </w:p>
    <w:p>
      <w:pPr>
        <w:spacing w:before="200" w:after="80"/>
      </w:pPr>
      <w:r>
        <w:rPr>
          <w:b/>
          <w:color w:val="1A569A"/>
          <w:sz w:val="24"/>
        </w:rPr>
        <w:t>⭐ 關鍵時間點 Key Dates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日期</w:t>
            </w:r>
          </w:p>
        </w:tc>
        <w:tc>
          <w:tcPr>
            <w:tcW w:type="dxa" w:w="302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事件</w:t>
            </w:r>
          </w:p>
        </w:tc>
        <w:tc>
          <w:tcPr>
            <w:tcW w:type="dxa" w:w="302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數據</w:t>
            </w:r>
          </w:p>
        </w:tc>
      </w:tr>
      <w:tr>
        <w:tc>
          <w:tcPr>
            <w:tcW w:type="dxa" w:w="3024"/>
            <w:shd w:val="clear" w:color="auto" w:fill="FFF8E1"/>
          </w:tcPr>
          <w:p>
            <w:pPr>
              <w:jc w:val="center"/>
            </w:pPr>
            <w:r>
              <w:rPr>
                <w:b w:val="0"/>
                <w:color w:val="1E1E2D"/>
                <w:sz w:val="22"/>
              </w:rPr>
              <w:t>2月6日 (Fri)</w:t>
            </w:r>
          </w:p>
        </w:tc>
        <w:tc>
          <w:tcPr>
            <w:tcW w:type="dxa" w:w="3024"/>
            <w:shd w:val="clear" w:color="auto" w:fill="FFF8E1"/>
          </w:tcPr>
          <w:p>
            <w:pPr>
              <w:jc w:val="center"/>
            </w:pPr>
            <w:r>
              <w:rPr>
                <w:b w:val="0"/>
                <w:color w:val="1E1E2D"/>
                <w:sz w:val="22"/>
              </w:rPr>
              <w:t>🏆 最高點擊日</w:t>
            </w:r>
          </w:p>
        </w:tc>
        <w:tc>
          <w:tcPr>
            <w:tcW w:type="dxa" w:w="3024"/>
            <w:shd w:val="clear" w:color="auto" w:fill="FFF8E1"/>
          </w:tcPr>
          <w:p>
            <w:pPr>
              <w:jc w:val="center"/>
            </w:pPr>
            <w:r>
              <w:rPr>
                <w:b/>
                <w:color w:val="1A569A"/>
                <w:sz w:val="22"/>
              </w:rPr>
              <w:t>65次點擊</w:t>
            </w:r>
          </w:p>
        </w:tc>
      </w:tr>
      <w:tr>
        <w:tc>
          <w:tcPr>
            <w:tcW w:type="dxa" w:w="3024"/>
            <w:shd w:val="clear" w:color="auto" w:fill="E3F2FD"/>
          </w:tcPr>
          <w:p>
            <w:pPr>
              <w:jc w:val="center"/>
            </w:pPr>
            <w:r>
              <w:rPr>
                <w:b w:val="0"/>
                <w:color w:val="1E1E2D"/>
                <w:sz w:val="22"/>
              </w:rPr>
              <w:t>2月21日 (Sat)</w:t>
            </w:r>
          </w:p>
        </w:tc>
        <w:tc>
          <w:tcPr>
            <w:tcW w:type="dxa" w:w="3024"/>
            <w:shd w:val="clear" w:color="auto" w:fill="E3F2FD"/>
          </w:tcPr>
          <w:p>
            <w:pPr>
              <w:jc w:val="center"/>
            </w:pPr>
            <w:r>
              <w:rPr>
                <w:b w:val="0"/>
                <w:color w:val="1E1E2D"/>
                <w:sz w:val="22"/>
              </w:rPr>
              <w:t>👁 最高展示日</w:t>
            </w:r>
          </w:p>
        </w:tc>
        <w:tc>
          <w:tcPr>
            <w:tcW w:type="dxa" w:w="3024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A569A"/>
                <w:sz w:val="22"/>
              </w:rPr>
              <w:t>3,941次展示</w:t>
            </w:r>
          </w:p>
        </w:tc>
      </w:tr>
    </w:tbl>
    <w:p/>
    <w:p>
      <w:pPr>
        <w:spacing w:before="120" w:after="80"/>
      </w:pPr>
      <w:r>
        <w:rPr>
          <w:b/>
          <w:color w:val="CC4400"/>
          <w:sz w:val="22"/>
        </w:rPr>
        <w:t>⚠️  異常時間點警示：</w:t>
      </w:r>
    </w:p>
    <w:p>
      <w:pPr>
        <w:spacing w:before="40" w:after="160"/>
        <w:ind w:left="283"/>
      </w:pPr>
      <w:r>
        <w:rPr>
          <w:color w:val="1E1E2D"/>
          <w:sz w:val="20"/>
        </w:rPr>
        <w:t>2月9日（農曆新年期間）只有1次點擊，但CPC高達HK$23.27，遠超平均水平（HK$1.57），屬異常數據，建議向Google查詢原因，或檢查是否存在無效點擊（Invalid Click）。</w:t>
      </w:r>
    </w:p>
    <w:p>
      <w:r>
        <w:br w:type="page"/>
      </w:r>
    </w:p>
    <w:p/>
    <w:p>
      <w:pPr>
        <w:spacing w:before="120" w:after="80"/>
        <w:jc w:val="left"/>
      </w:pPr>
      <w:r>
        <w:rPr>
          <w:b/>
          <w:color w:val="B88A2F"/>
          <w:sz w:val="40"/>
        </w:rPr>
        <w:t xml:space="preserve">04  </w:t>
      </w:r>
      <w:r>
        <w:rPr>
          <w:b/>
          <w:color w:val="1A569A"/>
          <w:sz w:val="40"/>
        </w:rPr>
        <w:t>Placement Analysis</w:t>
      </w:r>
      <w:r>
        <w:rPr>
          <w:b w:val="0"/>
          <w:color w:val="1E1E2D"/>
          <w:sz w:val="28"/>
        </w:rPr>
        <w:t xml:space="preserve">  廣告位置分析</w:t>
      </w:r>
    </w:p>
    <w:p>
      <w:pPr>
        <w:spacing w:before="0" w:after="160"/>
        <w:pBdr>
          <w:bottom w:val="single" w:sz="6" w:color="1A569A"/>
        </w:pBdr>
      </w:pPr>
    </w:p>
    <w:p>
      <w:pPr>
        <w:spacing w:before="200" w:after="80"/>
      </w:pPr>
      <w:r>
        <w:rPr>
          <w:b/>
          <w:color w:val="1A569A"/>
          <w:sz w:val="24"/>
        </w:rPr>
        <w:t>📺 YouTube 為主要廣告位置</w:t>
      </w:r>
    </w:p>
    <w:p>
      <w:pPr>
        <w:spacing w:before="80" w:after="240"/>
        <w:ind w:left="170"/>
      </w:pPr>
      <w:r>
        <w:rPr>
          <w:color w:val="1E1E2D"/>
          <w:sz w:val="20"/>
        </w:rPr>
        <w:t>Green Tea - HK Campaign的廣告主要刊登於YouTube影片位置，屬於Google Display Network（GDN）/ YouTube廣告系列形式，以影片前置廣告（Pre-roll）或展示廣告形式觸及目標受眾，配合視覺化品牌形象傳遞，適合飲料類品牌的品牌認知建立。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廣告位置</w:t>
            </w:r>
          </w:p>
        </w:tc>
        <w:tc>
          <w:tcPr>
            <w:tcW w:type="dxa" w:w="226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226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主要效益</w:t>
            </w:r>
          </w:p>
        </w:tc>
        <w:tc>
          <w:tcPr>
            <w:tcW w:type="dxa" w:w="226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適用Campaign</w:t>
            </w:r>
          </w:p>
        </w:tc>
      </w:tr>
      <w:tr>
        <w:tc>
          <w:tcPr>
            <w:tcW w:type="dxa" w:w="2268"/>
            <w:shd w:val="clear" w:color="auto" w:fill="F0F5FD"/>
          </w:tcPr>
          <w:p>
            <w:pPr>
              <w:jc w:val="left"/>
            </w:pPr>
            <w:r>
              <w:rPr>
                <w:b/>
                <w:color w:val="1E1E2D"/>
                <w:sz w:val="20"/>
              </w:rPr>
              <w:t>YouTube 影片 (主)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Display/Video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品牌曝光、受眾觸及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HK + JP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color w:val="1E1E2D"/>
                <w:sz w:val="20"/>
              </w:rPr>
              <w:t>Google Display Network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Banner/Display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廣泛觸及、再行銷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HK + JP</w:t>
            </w:r>
          </w:p>
        </w:tc>
      </w:tr>
      <w:tr>
        <w:tc>
          <w:tcPr>
            <w:tcW w:type="dxa" w:w="2268"/>
            <w:shd w:val="clear" w:color="auto" w:fill="F0F5FD"/>
          </w:tcPr>
          <w:p>
            <w:pPr>
              <w:jc w:val="left"/>
            </w:pPr>
            <w:r>
              <w:rPr>
                <w:b/>
                <w:color w:val="1E1E2D"/>
                <w:sz w:val="20"/>
              </w:rPr>
              <w:t>其他展示位置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Display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補充觸及</w:t>
            </w:r>
          </w:p>
        </w:tc>
        <w:tc>
          <w:tcPr>
            <w:tcW w:type="dxa" w:w="2268"/>
            <w:shd w:val="clear" w:color="auto" w:fill="F0F5FD"/>
          </w:tcPr>
          <w:p>
            <w:pPr>
              <w:jc w:val="center"/>
            </w:pPr>
            <w:r>
              <w:rPr>
                <w:b w:val="0"/>
                <w:color w:val="1E1E2D"/>
                <w:sz w:val="20"/>
              </w:rPr>
              <w:t>視情況</w:t>
            </w:r>
          </w:p>
        </w:tc>
      </w:tr>
    </w:tbl>
    <w:p/>
    <w:p>
      <w:pPr>
        <w:spacing w:before="200" w:after="80"/>
      </w:pPr>
      <w:r>
        <w:rPr>
          <w:b/>
          <w:color w:val="1A569A"/>
          <w:sz w:val="24"/>
        </w:rPr>
        <w:t>👥 受眾接觸分析 Audience Reach Analysis</w:t>
      </w:r>
    </w:p>
    <w:p>
      <w:pPr>
        <w:spacing w:before="60" w:after="60"/>
        <w:ind w:left="283"/>
      </w:pPr>
      <w:r>
        <w:rPr>
          <w:b/>
          <w:color w:val="B88A2F"/>
          <w:sz w:val="24"/>
        </w:rPr>
        <w:t xml:space="preserve">•  </w:t>
      </w:r>
      <w:r>
        <w:rPr>
          <w:color w:val="1E1E2D"/>
          <w:sz w:val="20"/>
        </w:rPr>
        <w:t>HK Campaign通過YouTube影片廣告，成功在香港地區觸及目標受眾，32,987次展示反映良好的曝光廣度。</w:t>
      </w:r>
    </w:p>
    <w:p>
      <w:pPr>
        <w:spacing w:before="60" w:after="60"/>
        <w:ind w:left="283"/>
      </w:pPr>
      <w:r>
        <w:rPr>
          <w:b/>
          <w:color w:val="B88A2F"/>
          <w:sz w:val="24"/>
        </w:rPr>
        <w:t xml:space="preserve">•  </w:t>
      </w:r>
      <w:r>
        <w:rPr>
          <w:color w:val="1E1E2D"/>
          <w:sz w:val="20"/>
        </w:rPr>
        <w:t>JP Campaign在日本市場獲得9,418次展示，CTR較高（3.05%），顯示廣告內容與日本受眾匹配度高。</w:t>
      </w:r>
    </w:p>
    <w:p>
      <w:pPr>
        <w:spacing w:before="60" w:after="60"/>
        <w:ind w:left="283"/>
      </w:pPr>
      <w:r>
        <w:rPr>
          <w:b/>
          <w:color w:val="B88A2F"/>
          <w:sz w:val="24"/>
        </w:rPr>
        <w:t xml:space="preserve">•  </w:t>
      </w:r>
      <w:r>
        <w:rPr>
          <w:color w:val="1E1E2D"/>
          <w:sz w:val="20"/>
        </w:rPr>
        <w:t>YouTube平台特性使廣告能觸及主動搜尋相關內容的高意向用戶，有助提升品牌記憶度。</w:t>
      </w:r>
    </w:p>
    <w:p>
      <w:pPr>
        <w:spacing w:before="60" w:after="60"/>
        <w:ind w:left="283"/>
      </w:pPr>
      <w:r>
        <w:rPr>
          <w:b/>
          <w:color w:val="B88A2F"/>
          <w:sz w:val="24"/>
        </w:rPr>
        <w:t xml:space="preserve">•  </w:t>
      </w:r>
      <w:r>
        <w:rPr>
          <w:color w:val="1E1E2D"/>
          <w:sz w:val="20"/>
        </w:rPr>
        <w:t>建議未來考慮設定自訂受眾（Custom Audience）及相似受眾（Similar Audiences），以提升精準定向效果。</w:t>
      </w:r>
    </w:p>
    <w:p>
      <w:r>
        <w:br w:type="page"/>
      </w:r>
    </w:p>
    <w:p/>
    <w:p>
      <w:pPr>
        <w:spacing w:before="120" w:after="80"/>
        <w:jc w:val="left"/>
      </w:pPr>
      <w:r>
        <w:rPr>
          <w:b/>
          <w:color w:val="B88A2F"/>
          <w:sz w:val="40"/>
        </w:rPr>
        <w:t xml:space="preserve">05  </w:t>
      </w:r>
      <w:r>
        <w:rPr>
          <w:b/>
          <w:color w:val="1A569A"/>
          <w:sz w:val="40"/>
        </w:rPr>
        <w:t>Insights &amp; Recommendations</w:t>
      </w:r>
      <w:r>
        <w:rPr>
          <w:b w:val="0"/>
          <w:color w:val="1E1E2D"/>
          <w:sz w:val="28"/>
        </w:rPr>
        <w:t xml:space="preserve">  分析與建議</w:t>
      </w:r>
    </w:p>
    <w:p>
      <w:pPr>
        <w:spacing w:before="0" w:after="160"/>
        <w:pBdr>
          <w:bottom w:val="single" w:sz="6" w:color="1A569A"/>
        </w:pBdr>
      </w:pPr>
    </w:p>
    <w:p>
      <w:pPr>
        <w:spacing w:before="200" w:after="80"/>
      </w:pPr>
      <w:r>
        <w:rPr>
          <w:b/>
          <w:color w:val="B88A2F"/>
          <w:sz w:val="24"/>
        </w:rPr>
        <w:t>🏆 三大主要發現 Key Wins</w:t>
      </w:r>
    </w:p>
    <w:p>
      <w:pPr>
        <w:spacing w:before="120" w:after="40"/>
        <w:ind w:left="170"/>
      </w:pPr>
      <w:r>
        <w:rPr>
          <w:b/>
          <w:color w:val="B88A2F"/>
          <w:sz w:val="22"/>
        </w:rPr>
        <w:t xml:space="preserve">  ✅  1.  HK CPA 表現優異</w:t>
      </w:r>
    </w:p>
    <w:p>
      <w:pPr>
        <w:spacing w:before="40" w:after="160"/>
        <w:ind w:left="850"/>
      </w:pPr>
      <w:r>
        <w:rPr>
          <w:color w:val="1E1E2D"/>
          <w:sz w:val="20"/>
        </w:rPr>
        <w:t>HK Campaign CPA達HK$46.11，遠低於Google Display/YouTube廣告行業基準（HK$50–200），反映廣告定向精準，每筆轉換成本具備高度競爭力。此為重要成就，值得在下一期廣告計劃中維持並優化。</w:t>
      </w:r>
    </w:p>
    <w:p>
      <w:pPr>
        <w:spacing w:before="120" w:after="40"/>
        <w:ind w:left="170"/>
      </w:pPr>
      <w:r>
        <w:rPr>
          <w:b/>
          <w:color w:val="B88A2F"/>
          <w:sz w:val="22"/>
        </w:rPr>
        <w:t xml:space="preserve">  ✅  2.  JP Campaign CTR 高於 HK</w:t>
      </w:r>
    </w:p>
    <w:p>
      <w:pPr>
        <w:spacing w:before="40" w:after="160"/>
        <w:ind w:left="850"/>
      </w:pPr>
      <w:r>
        <w:rPr>
          <w:color w:val="1E1E2D"/>
          <w:sz w:val="20"/>
        </w:rPr>
        <w:t>日本Campaign CTR達3.05%，高出香港1.88%近62%，且CPC更低（HK$1.12 vs HK$1.78）。顯示廣告素材對日本受眾吸引力強，市場潛力值得深入挖掘，待轉換追蹤完善後可考慮增加JP預算。</w:t>
      </w:r>
    </w:p>
    <w:p>
      <w:pPr>
        <w:spacing w:before="120" w:after="40"/>
        <w:ind w:left="170"/>
      </w:pPr>
      <w:r>
        <w:rPr>
          <w:b/>
          <w:color w:val="B88A2F"/>
          <w:sz w:val="22"/>
        </w:rPr>
        <w:t xml:space="preserve">  ✅  3.  農曆新年季節性波動屬正常，節後快速恢復</w:t>
      </w:r>
    </w:p>
    <w:p>
      <w:pPr>
        <w:spacing w:before="40" w:after="160"/>
        <w:ind w:left="850"/>
      </w:pPr>
      <w:r>
        <w:rPr>
          <w:color w:val="1E1E2D"/>
          <w:sz w:val="20"/>
        </w:rPr>
        <w:t>新年期間流量下跌37%符合市場規律，更重要的是節後（2月12日起）流量迅速回升至接近基準水平，反映廣告系列整體健康，無需調整架構。</w:t>
      </w:r>
    </w:p>
    <w:p>
      <w:pPr>
        <w:spacing w:before="200" w:after="80"/>
      </w:pPr>
      <w:r>
        <w:rPr>
          <w:b/>
          <w:color w:val="CC4400"/>
          <w:sz w:val="24"/>
        </w:rPr>
        <w:t>⚠️ 三個需要改善的地方 Issues</w:t>
      </w:r>
    </w:p>
    <w:p>
      <w:pPr>
        <w:spacing w:before="120" w:after="40"/>
        <w:ind w:left="170"/>
      </w:pPr>
      <w:r>
        <w:rPr>
          <w:b/>
          <w:color w:val="CC4400"/>
          <w:sz w:val="22"/>
        </w:rPr>
        <w:t xml:space="preserve">  ❌  1.  JP Campaign 缺乏轉換追蹤</w:t>
      </w:r>
    </w:p>
    <w:p>
      <w:pPr>
        <w:spacing w:before="40" w:after="160"/>
        <w:ind w:left="850"/>
      </w:pPr>
      <w:r>
        <w:rPr>
          <w:color w:val="1E1E2D"/>
          <w:sz w:val="20"/>
        </w:rPr>
        <w:t>目前JP Campaign沒有設定任何轉換事件追蹤，無法評估日本市場的真實ROI。在無法量化成效的情況下，難以判斷是否值得繼續投入預算。此問題屬最高優先級，建議立即處理。</w:t>
      </w:r>
    </w:p>
    <w:p>
      <w:pPr>
        <w:spacing w:before="120" w:after="40"/>
        <w:ind w:left="170"/>
      </w:pPr>
      <w:r>
        <w:rPr>
          <w:b/>
          <w:color w:val="CC4400"/>
          <w:sz w:val="22"/>
        </w:rPr>
        <w:t xml:space="preserve">  ❌  2.  整體 CTR 2.14% 接近行業下限</w:t>
      </w:r>
    </w:p>
    <w:p>
      <w:pPr>
        <w:spacing w:before="40" w:after="160"/>
        <w:ind w:left="850"/>
      </w:pPr>
      <w:r>
        <w:rPr>
          <w:color w:val="1E1E2D"/>
          <w:sz w:val="20"/>
        </w:rPr>
        <w:t>YouTube/Display廣告的行業平均CTR約2%–5%，目前整體CTR 2.14%處於偏低位置，顯示廣告素材（廣告文案、圖片或影片創意）有優化空間，可考慮進行A/B測試以找出更高效的廣告素材。</w:t>
      </w:r>
    </w:p>
    <w:p>
      <w:pPr>
        <w:spacing w:before="120" w:after="40"/>
        <w:ind w:left="170"/>
      </w:pPr>
      <w:r>
        <w:rPr>
          <w:b/>
          <w:color w:val="CC4400"/>
          <w:sz w:val="22"/>
        </w:rPr>
        <w:t xml:space="preserve">  ❌  3.  2月9日異常高CPC（HK$23.27）</w:t>
      </w:r>
    </w:p>
    <w:p>
      <w:pPr>
        <w:spacing w:before="40" w:after="160"/>
        <w:ind w:left="850"/>
      </w:pPr>
      <w:r>
        <w:rPr>
          <w:color w:val="1E1E2D"/>
          <w:sz w:val="20"/>
        </w:rPr>
        <w:t>2月9日（農曆初十）只錄得1次點擊，CPC卻高達HK$23.27（正常平均HK$1.57），異常程度達14.8倍。此可能因為農曆新年假期出競標競爭畸高，或存在無效點擊。建議調查Google Ads後台的點擊詳情，確認是否需要申請點擊費用退款。</w:t>
      </w:r>
    </w:p>
    <w:p>
      <w:r>
        <w:br w:type="page"/>
      </w:r>
    </w:p>
    <w:p>
      <w:pPr>
        <w:spacing w:before="200" w:after="80"/>
      </w:pPr>
      <w:r>
        <w:rPr>
          <w:b/>
          <w:color w:val="1A569A"/>
          <w:sz w:val="24"/>
        </w:rPr>
        <w:t>🚀 五條策略建議 Strategic Recommendations</w:t>
      </w:r>
    </w:p>
    <w:p>
      <w:pPr>
        <w:spacing w:before="160" w:after="40"/>
      </w:pPr>
      <w:r>
        <w:rPr>
          <w:b/>
          <w:color w:val="FFFFFF"/>
          <w:sz w:val="28"/>
        </w:rPr>
        <w:t xml:space="preserve">  1  </w:t>
      </w:r>
      <w:r>
        <w:rPr>
          <w:b/>
          <w:color w:val="B88A2F"/>
          <w:sz w:val="18"/>
        </w:rPr>
        <w:t xml:space="preserve">[立即（1週內）]  </w:t>
      </w:r>
      <w:r>
        <w:rPr>
          <w:b/>
          <w:color w:val="1A569A"/>
          <w:sz w:val="22"/>
        </w:rPr>
        <w:t>為 JP Campaign 設定轉換追蹤</w:t>
      </w:r>
    </w:p>
    <w:p>
      <w:pPr>
        <w:spacing w:before="40" w:after="120"/>
        <w:ind w:left="567"/>
      </w:pPr>
      <w:r>
        <w:rPr>
          <w:color w:val="1E1E2D"/>
          <w:sz w:val="20"/>
        </w:rPr>
        <w:t>在Google Ads及Google Analytics 4中為JP Campaign設置轉換事件（如：網頁訪問、特定頁面瀏覽、表單提交等），確保下一期報告能呈現JP的完整ROI數據。</w:t>
      </w:r>
    </w:p>
    <w:p>
      <w:pPr>
        <w:spacing w:before="160" w:after="40"/>
      </w:pPr>
      <w:r>
        <w:rPr>
          <w:b/>
          <w:color w:val="FFFFFF"/>
          <w:sz w:val="28"/>
        </w:rPr>
        <w:t xml:space="preserve">  2  </w:t>
      </w:r>
      <w:r>
        <w:rPr>
          <w:b/>
          <w:color w:val="B88A2F"/>
          <w:sz w:val="18"/>
        </w:rPr>
        <w:t xml:space="preserve">[短期（2–4週）]  </w:t>
      </w:r>
      <w:r>
        <w:rPr>
          <w:b/>
          <w:color w:val="1A569A"/>
          <w:sz w:val="22"/>
        </w:rPr>
        <w:t>優化 YouTube 廣告創意，目標 CTR 提升至 3%+</w:t>
      </w:r>
    </w:p>
    <w:p>
      <w:pPr>
        <w:spacing w:before="40" w:after="120"/>
        <w:ind w:left="567"/>
      </w:pPr>
      <w:r>
        <w:rPr>
          <w:color w:val="1E1E2D"/>
          <w:sz w:val="20"/>
        </w:rPr>
        <w:t>對現有廣告素材進行A/B測試，包括：更新廣告標題/描述文案、嘗試不同廣告圖片或影片縮圖、測試不同的行動呼籲（CTA）用詞，目標將整體CTR從2.14%提升至3%以上。</w:t>
      </w:r>
    </w:p>
    <w:p>
      <w:pPr>
        <w:spacing w:before="160" w:after="40"/>
      </w:pPr>
      <w:r>
        <w:rPr>
          <w:b/>
          <w:color w:val="FFFFFF"/>
          <w:sz w:val="28"/>
        </w:rPr>
        <w:t xml:space="preserve">  3  </w:t>
      </w:r>
      <w:r>
        <w:rPr>
          <w:b/>
          <w:color w:val="B88A2F"/>
          <w:sz w:val="18"/>
        </w:rPr>
        <w:t xml:space="preserve">[短期（2–4週）]  </w:t>
      </w:r>
      <w:r>
        <w:rPr>
          <w:b/>
          <w:color w:val="1A569A"/>
          <w:sz w:val="22"/>
        </w:rPr>
        <w:t>根據每日趨勢調整出價策略</w:t>
      </w:r>
    </w:p>
    <w:p>
      <w:pPr>
        <w:spacing w:before="40" w:after="120"/>
        <w:ind w:left="567"/>
      </w:pPr>
      <w:r>
        <w:rPr>
          <w:color w:val="1E1E2D"/>
          <w:sz w:val="20"/>
        </w:rPr>
        <w:t>分析每週表現數據，若週六/週日流量及轉換較佳，可考慮在對應時段設置出價調整（Bid Adjustment），將資源集中在高效時段，降低整體CPA。</w:t>
      </w:r>
    </w:p>
    <w:p>
      <w:pPr>
        <w:spacing w:before="160" w:after="40"/>
      </w:pPr>
      <w:r>
        <w:rPr>
          <w:b/>
          <w:color w:val="FFFFFF"/>
          <w:sz w:val="28"/>
        </w:rPr>
        <w:t xml:space="preserve">  4  </w:t>
      </w:r>
      <w:r>
        <w:rPr>
          <w:b/>
          <w:color w:val="B88A2F"/>
          <w:sz w:val="18"/>
        </w:rPr>
        <w:t xml:space="preserve">[中期（1–2個月）]  </w:t>
      </w:r>
      <w:r>
        <w:rPr>
          <w:b/>
          <w:color w:val="1A569A"/>
          <w:sz w:val="22"/>
        </w:rPr>
        <w:t>測試非農曆新年假期的預算加碼策略</w:t>
      </w:r>
    </w:p>
    <w:p>
      <w:pPr>
        <w:spacing w:before="40" w:after="120"/>
        <w:ind w:left="567"/>
      </w:pPr>
      <w:r>
        <w:rPr>
          <w:color w:val="1E1E2D"/>
          <w:sz w:val="20"/>
        </w:rPr>
        <w:t>以今期數據為基準，在下一個重大假期（如復活節）前測試提前加碼預算，對比節前vs節後的轉換率及CPA，建立季節性預算調整標準作業流程。</w:t>
      </w:r>
    </w:p>
    <w:p>
      <w:pPr>
        <w:spacing w:before="160" w:after="40"/>
      </w:pPr>
      <w:r>
        <w:rPr>
          <w:b/>
          <w:color w:val="FFFFFF"/>
          <w:sz w:val="28"/>
        </w:rPr>
        <w:t xml:space="preserve">  5  </w:t>
      </w:r>
      <w:r>
        <w:rPr>
          <w:b/>
          <w:color w:val="B88A2F"/>
          <w:sz w:val="18"/>
        </w:rPr>
        <w:t xml:space="preserve">[中期（1–2個月）]  </w:t>
      </w:r>
      <w:r>
        <w:rPr>
          <w:b/>
          <w:color w:val="1A569A"/>
          <w:sz w:val="22"/>
        </w:rPr>
        <w:t>建立再行銷受眾（Remarketing Audience）</w:t>
      </w:r>
    </w:p>
    <w:p>
      <w:pPr>
        <w:spacing w:before="40" w:after="120"/>
        <w:ind w:left="567"/>
      </w:pPr>
      <w:r>
        <w:rPr>
          <w:color w:val="1E1E2D"/>
          <w:sz w:val="20"/>
        </w:rPr>
        <w:t>針對已觀看YouTube廣告但尚未轉換的用戶，建立再行銷受眾群組，以較低出價持續觸及高意向用戶，配合更具針對性的廣告訊息提升最終轉換率。</w:t>
      </w:r>
    </w:p>
    <w:p>
      <w:pPr>
        <w:spacing w:before="200" w:after="80"/>
      </w:pPr>
      <w:r>
        <w:rPr>
          <w:b/>
          <w:color w:val="1A569A"/>
          <w:sz w:val="24"/>
        </w:rPr>
        <w:t>📋 30天行動計劃 30-Day Action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優先級</w:t>
            </w:r>
          </w:p>
        </w:tc>
        <w:tc>
          <w:tcPr>
            <w:tcW w:type="dxa" w:w="181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行動項目</w:t>
            </w:r>
          </w:p>
        </w:tc>
        <w:tc>
          <w:tcPr>
            <w:tcW w:type="dxa" w:w="181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負責方</w:t>
            </w:r>
          </w:p>
        </w:tc>
        <w:tc>
          <w:tcPr>
            <w:tcW w:type="dxa" w:w="181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完成期限</w:t>
            </w:r>
          </w:p>
        </w:tc>
        <w:tc>
          <w:tcPr>
            <w:tcW w:type="dxa" w:w="181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預期成效</w:t>
            </w:r>
          </w:p>
        </w:tc>
      </w:tr>
      <w:tr>
        <w:tc>
          <w:tcPr>
            <w:tcW w:type="dxa" w:w="1814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18"/>
              </w:rPr>
              <w:t>P1 🔴</w:t>
            </w:r>
          </w:p>
        </w:tc>
        <w:tc>
          <w:tcPr>
            <w:tcW w:type="dxa" w:w="1814"/>
            <w:shd w:val="clear" w:color="auto" w:fill="F0F5FD"/>
          </w:tcPr>
          <w:p>
            <w:pPr>
              <w:jc w:val="left"/>
            </w:pPr>
            <w:r>
              <w:rPr>
                <w:color w:val="1E1E2D"/>
                <w:sz w:val="18"/>
              </w:rPr>
              <w:t>JP Campaign 設定轉換追蹤</w:t>
            </w:r>
          </w:p>
        </w:tc>
        <w:tc>
          <w:tcPr>
            <w:tcW w:type="dxa" w:w="1814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18"/>
              </w:rPr>
              <w:t>Area2 + 客戶</w:t>
            </w:r>
          </w:p>
        </w:tc>
        <w:tc>
          <w:tcPr>
            <w:tcW w:type="dxa" w:w="1814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18"/>
              </w:rPr>
              <w:t>第1週</w:t>
            </w:r>
          </w:p>
        </w:tc>
        <w:tc>
          <w:tcPr>
            <w:tcW w:type="dxa" w:w="1814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18"/>
              </w:rPr>
              <w:t>ROI可追蹤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18"/>
              </w:rPr>
              <w:t>P1 🔴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E1E2D"/>
                <w:sz w:val="18"/>
              </w:rPr>
              <w:t>調查2月9日異常CPC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18"/>
              </w:rPr>
              <w:t>Area2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18"/>
              </w:rPr>
              <w:t>第1週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18"/>
              </w:rPr>
              <w:t>確認是否退款</w:t>
            </w:r>
          </w:p>
        </w:tc>
      </w:tr>
      <w:tr>
        <w:tc>
          <w:tcPr>
            <w:tcW w:type="dxa" w:w="1814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18"/>
              </w:rPr>
              <w:t>P2 🟡</w:t>
            </w:r>
          </w:p>
        </w:tc>
        <w:tc>
          <w:tcPr>
            <w:tcW w:type="dxa" w:w="1814"/>
            <w:shd w:val="clear" w:color="auto" w:fill="F0F5FD"/>
          </w:tcPr>
          <w:p>
            <w:pPr>
              <w:jc w:val="left"/>
            </w:pPr>
            <w:r>
              <w:rPr>
                <w:color w:val="1E1E2D"/>
                <w:sz w:val="18"/>
              </w:rPr>
              <w:t>廣告文案A/B測試</w:t>
            </w:r>
          </w:p>
        </w:tc>
        <w:tc>
          <w:tcPr>
            <w:tcW w:type="dxa" w:w="1814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18"/>
              </w:rPr>
              <w:t>Area2</w:t>
            </w:r>
          </w:p>
        </w:tc>
        <w:tc>
          <w:tcPr>
            <w:tcW w:type="dxa" w:w="1814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18"/>
              </w:rPr>
              <w:t>第2週</w:t>
            </w:r>
          </w:p>
        </w:tc>
        <w:tc>
          <w:tcPr>
            <w:tcW w:type="dxa" w:w="1814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18"/>
              </w:rPr>
              <w:t>CTR提升至3%+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18"/>
              </w:rPr>
              <w:t>P2 🟡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E1E2D"/>
                <w:sz w:val="18"/>
              </w:rPr>
              <w:t>設定出價時段調整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18"/>
              </w:rPr>
              <w:t>Area2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18"/>
              </w:rPr>
              <w:t>第2週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18"/>
              </w:rPr>
              <w:t>CPA降低10%+</w:t>
            </w:r>
          </w:p>
        </w:tc>
      </w:tr>
      <w:tr>
        <w:tc>
          <w:tcPr>
            <w:tcW w:type="dxa" w:w="1814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18"/>
              </w:rPr>
              <w:t>P3 🟢</w:t>
            </w:r>
          </w:p>
        </w:tc>
        <w:tc>
          <w:tcPr>
            <w:tcW w:type="dxa" w:w="1814"/>
            <w:shd w:val="clear" w:color="auto" w:fill="F0F5FD"/>
          </w:tcPr>
          <w:p>
            <w:pPr>
              <w:jc w:val="left"/>
            </w:pPr>
            <w:r>
              <w:rPr>
                <w:color w:val="1E1E2D"/>
                <w:sz w:val="18"/>
              </w:rPr>
              <w:t>建立再行銷受眾</w:t>
            </w:r>
          </w:p>
        </w:tc>
        <w:tc>
          <w:tcPr>
            <w:tcW w:type="dxa" w:w="1814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18"/>
              </w:rPr>
              <w:t>Area2</w:t>
            </w:r>
          </w:p>
        </w:tc>
        <w:tc>
          <w:tcPr>
            <w:tcW w:type="dxa" w:w="1814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18"/>
              </w:rPr>
              <w:t>第3-4週</w:t>
            </w:r>
          </w:p>
        </w:tc>
        <w:tc>
          <w:tcPr>
            <w:tcW w:type="dxa" w:w="1814"/>
            <w:shd w:val="clear" w:color="auto" w:fill="F0F5FD"/>
          </w:tcPr>
          <w:p>
            <w:pPr>
              <w:jc w:val="center"/>
            </w:pPr>
            <w:r>
              <w:rPr>
                <w:color w:val="1E1E2D"/>
                <w:sz w:val="18"/>
              </w:rPr>
              <w:t>轉換率提升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18"/>
              </w:rPr>
              <w:t>P3 🟢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color w:val="1E1E2D"/>
                <w:sz w:val="18"/>
              </w:rPr>
              <w:t>季節性預算策略規劃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18"/>
              </w:rPr>
              <w:t>Area2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18"/>
              </w:rPr>
              <w:t>第4週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color w:val="1E1E2D"/>
                <w:sz w:val="18"/>
              </w:rPr>
              <w:t>下期執行準備</w:t>
            </w:r>
          </w:p>
        </w:tc>
      </w:tr>
    </w:tbl>
    <w:p/>
    <w:p>
      <w:pPr>
        <w:spacing w:before="200" w:after="80"/>
      </w:pPr>
      <w:r>
        <w:rPr>
          <w:b/>
          <w:color w:val="1A569A"/>
          <w:sz w:val="24"/>
        </w:rPr>
        <w:t>📈 預期成效 Expected Outcomes（執行建議後）</w:t>
      </w:r>
    </w:p>
    <w:p>
      <w:pPr>
        <w:spacing w:before="80" w:after="80"/>
        <w:ind w:left="170"/>
      </w:pPr>
      <w:r>
        <w:rPr>
          <w:b/>
          <w:color w:val="1A569A"/>
          <w:sz w:val="20"/>
        </w:rPr>
        <w:t xml:space="preserve">→  CTR 改善：  </w:t>
      </w:r>
      <w:r>
        <w:rPr>
          <w:color w:val="1E1E2D"/>
          <w:sz w:val="20"/>
        </w:rPr>
        <w:t>整體CTR由2.14% → 目標3.0%+（+40%），每千次展示獲得更多點擊</w:t>
      </w:r>
    </w:p>
    <w:p>
      <w:pPr>
        <w:spacing w:before="80" w:after="80"/>
        <w:ind w:left="170"/>
      </w:pPr>
      <w:r>
        <w:rPr>
          <w:b/>
          <w:color w:val="1A569A"/>
          <w:sz w:val="20"/>
        </w:rPr>
        <w:t xml:space="preserve">→  CPA 優化：  </w:t>
      </w:r>
      <w:r>
        <w:rPr>
          <w:color w:val="1E1E2D"/>
          <w:sz w:val="20"/>
        </w:rPr>
        <w:t>HK Campaign CPA由HK$46.11 → 目標HK$40（-13%），整體廣告ROI提升</w:t>
      </w:r>
    </w:p>
    <w:p>
      <w:pPr>
        <w:spacing w:before="80" w:after="80"/>
        <w:ind w:left="170"/>
      </w:pPr>
      <w:r>
        <w:rPr>
          <w:b/>
          <w:color w:val="1A569A"/>
          <w:sz w:val="20"/>
        </w:rPr>
        <w:t xml:space="preserve">→  JP ROI 可見：  </w:t>
      </w:r>
      <w:r>
        <w:rPr>
          <w:color w:val="1E1E2D"/>
          <w:sz w:val="20"/>
        </w:rPr>
        <w:t>JP Campaign轉換追蹤設定後，可首次評估JP的實際轉換成本及ROI</w:t>
      </w:r>
    </w:p>
    <w:p>
      <w:pPr>
        <w:spacing w:before="80" w:after="80"/>
        <w:ind w:left="170"/>
      </w:pPr>
      <w:r>
        <w:rPr>
          <w:b/>
          <w:color w:val="1A569A"/>
          <w:sz w:val="20"/>
        </w:rPr>
        <w:t xml:space="preserve">→  再行銷提升轉換：  </w:t>
      </w:r>
      <w:r>
        <w:rPr>
          <w:color w:val="1E1E2D"/>
          <w:sz w:val="20"/>
        </w:rPr>
        <w:t>再行銷受眾建立後，預計提升整體轉換率至4%+（目前3.87%）</w:t>
      </w:r>
    </w:p>
    <w:p>
      <w:pPr>
        <w:spacing w:before="80" w:after="80"/>
        <w:ind w:left="170"/>
      </w:pPr>
      <w:r>
        <w:rPr>
          <w:b/>
          <w:color w:val="1A569A"/>
          <w:sz w:val="20"/>
        </w:rPr>
        <w:t xml:space="preserve">→  季節性規劃：  </w:t>
      </w:r>
      <w:r>
        <w:rPr>
          <w:color w:val="1E1E2D"/>
          <w:sz w:val="20"/>
        </w:rPr>
        <w:t>以今期農曆新年數據為基準，建立標準化季節性預算調整策略，避免節期浪費預算</w:t>
      </w:r>
    </w:p>
    <w:p/>
    <w:p>
      <w:pPr>
        <w:spacing w:before="400" w:after="80"/>
        <w:pBdr>
          <w:top w:val="single" w:sz="4" w:color="B88A2F"/>
        </w:pBdr>
      </w:pPr>
      <w:r>
        <w:rPr>
          <w:i/>
          <w:color w:val="888899"/>
          <w:sz w:val="16"/>
        </w:rPr>
        <w:t>本報告由 Area2 (HK) Limited 製作，數據來源：Google Ads 後台匯出報告。所有分析及建議僅供參考，具體執行請結合客戶業務目標調整。</w:t>
      </w:r>
    </w:p>
    <w:p>
      <w:pPr>
        <w:jc w:val="right"/>
      </w:pPr>
      <w:r>
        <w:rPr>
          <w:i/>
          <w:color w:val="888899"/>
          <w:sz w:val="16"/>
        </w:rPr>
        <w:t>© 2026 Area2 (HK) Limited  |  Confidential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