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/>
          <w:color w:val="00B4D8"/>
          <w:sz w:val="18"/>
        </w:rPr>
        <w:t>Area2 (HK) Limited</w:t>
      </w: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  <w:jc w:val="left"/>
      </w:pPr>
      <w:r>
        <w:rPr>
          <w:rFonts w:ascii="Noto Sans CJK TC" w:hAnsi="Noto Sans CJK TC" w:eastAsia="Noto Sans CJK TC"/>
          <w:b/>
          <w:color w:val="0D1117"/>
          <w:sz w:val="72"/>
        </w:rPr>
        <w:t>Green Tea</w:t>
      </w:r>
    </w:p>
    <w:p>
      <w:pPr>
        <w:spacing w:before="0" w:after="120"/>
      </w:pPr>
      <w:r>
        <w:rPr>
          <w:rFonts w:ascii="Noto Sans CJK TC" w:hAnsi="Noto Sans CJK TC" w:eastAsia="Noto Sans CJK TC"/>
          <w:b/>
          <w:color w:val="00B4D8"/>
          <w:sz w:val="40"/>
        </w:rPr>
        <w:t>SEM 成效報告</w:t>
      </w:r>
    </w:p>
    <w:p>
      <w:pPr>
        <w:spacing w:before="80" w:after="40"/>
      </w:pPr>
      <w:r>
        <w:rPr>
          <w:rFonts w:ascii="Noto Sans CJK TC" w:hAnsi="Noto Sans CJK TC" w:eastAsia="Noto Sans CJK TC"/>
          <w:b w:val="0"/>
          <w:i w:val="0"/>
          <w:color w:val="666666"/>
          <w:sz w:val="20"/>
        </w:rPr>
        <w:t>分析期間：2026年1月22日 — 2026年2月22日（32天）  |  平台：Google Ads  |  報告日期：2026年3月12日</w:t>
      </w: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200" w:after="0"/>
        <w:pBdr>
          <w:bottom w:val="single" w:sz="12" w:space="1" w:color="00B4D8"/>
        </w:pBdr>
      </w:pPr>
      <w:r/>
    </w:p>
    <w:p>
      <w:r>
        <w:br w:type="page"/>
      </w:r>
    </w:p>
    <w:p>
      <w:pPr>
        <w:spacing w:before="28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8"/>
        </w:rPr>
        <w:t xml:space="preserve">█  </w:t>
      </w:r>
      <w:r>
        <w:rPr>
          <w:rFonts w:ascii="Noto Sans CJK TC" w:hAnsi="Noto Sans CJK TC" w:eastAsia="Noto Sans CJK TC"/>
          <w:b/>
          <w:color w:val="0D1117"/>
          <w:sz w:val="28"/>
        </w:rPr>
        <w:t>第一章：管理層摘要 Executive Summary</w:t>
      </w:r>
    </w:p>
    <w:p>
      <w:pPr>
        <w:spacing w:before="80" w:after="160"/>
      </w:pPr>
      <w:r>
        <w:rPr>
          <w:rFonts w:ascii="Noto Sans CJK TC" w:hAnsi="Noto Sans CJK TC" w:eastAsia="Noto Sans CJK TC"/>
          <w:b w:val="0"/>
          <w:color w:val="1A1A2E"/>
          <w:sz w:val="20"/>
        </w:rPr>
        <w:t>分析期間（2026年1月22日至2月22日，共32天），Green Tea 透過 Google Ads 投放廣告，以低廉成本取得良好的品牌曝光及轉換效益，整體廣告費用效益優於行業平均水平。</w:t>
      </w: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KPI Scorecard — 整體成效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0D111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984"/>
            <w:shd w:val="clear" w:color="auto" w:fill="0D111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數值</w:t>
            </w:r>
          </w:p>
        </w:tc>
        <w:tc>
          <w:tcPr>
            <w:tcW w:type="dxa" w:w="3969"/>
            <w:shd w:val="clear" w:color="auto" w:fill="0D111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311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總展示次數</w:t>
            </w:r>
          </w:p>
        </w:tc>
        <w:tc>
          <w:tcPr>
            <w:tcW w:type="dxa" w:w="1984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42,405</w:t>
            </w:r>
          </w:p>
        </w:tc>
        <w:tc>
          <w:tcPr>
            <w:tcW w:type="dxa" w:w="3969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次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總點擊次數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907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次</w:t>
            </w:r>
          </w:p>
        </w:tc>
      </w:tr>
      <w:tr>
        <w:tc>
          <w:tcPr>
            <w:tcW w:type="dxa" w:w="311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整體 CTR</w:t>
            </w:r>
          </w:p>
        </w:tc>
        <w:tc>
          <w:tcPr>
            <w:tcW w:type="dxa" w:w="1984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2.14%</w:t>
            </w:r>
          </w:p>
        </w:tc>
        <w:tc>
          <w:tcPr>
            <w:tcW w:type="dxa" w:w="3969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點擊率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平均 CPC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HK$1.57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每次點擊成本</w:t>
            </w:r>
          </w:p>
        </w:tc>
      </w:tr>
      <w:tr>
        <w:tc>
          <w:tcPr>
            <w:tcW w:type="dxa" w:w="311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總廣告費用</w:t>
            </w:r>
          </w:p>
        </w:tc>
        <w:tc>
          <w:tcPr>
            <w:tcW w:type="dxa" w:w="1984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HK$1,427.31</w:t>
            </w:r>
          </w:p>
        </w:tc>
        <w:tc>
          <w:tcPr>
            <w:tcW w:type="dxa" w:w="3969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投放總額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總轉換次數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24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次（HK Campaign）</w:t>
            </w:r>
          </w:p>
        </w:tc>
      </w:tr>
      <w:tr>
        <w:tc>
          <w:tcPr>
            <w:tcW w:type="dxa" w:w="311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整體 CPA</w:t>
            </w:r>
          </w:p>
        </w:tc>
        <w:tc>
          <w:tcPr>
            <w:tcW w:type="dxa" w:w="1984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HK$59.47</w:t>
            </w:r>
          </w:p>
        </w:tc>
        <w:tc>
          <w:tcPr>
            <w:tcW w:type="dxa" w:w="3969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每次轉換成本</w:t>
            </w:r>
          </w:p>
        </w:tc>
      </w:tr>
    </w:tbl>
    <w:p>
      <w:pPr>
        <w:spacing w:before="120" w:after="80"/>
      </w:pP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重點摘要</w:t>
      </w:r>
    </w:p>
    <w:p>
      <w:pPr>
        <w:pStyle w:val="ListBullet"/>
        <w:spacing w:before="20" w:after="40"/>
        <w:ind w:left="283"/>
      </w:pPr>
      <w:r>
        <w:rPr>
          <w:rFonts w:ascii="Noto Sans CJK TC" w:hAnsi="Noto Sans CJK TC" w:eastAsia="Noto Sans CJK TC"/>
          <w:color w:val="1A1A2E"/>
          <w:sz w:val="20"/>
        </w:rPr>
        <w:t>✅  HK Campaign CPA HK$46.11，低於行業基準（HK$50–200），費用效益優良</w:t>
      </w:r>
    </w:p>
    <w:p>
      <w:pPr>
        <w:pStyle w:val="ListBullet"/>
        <w:spacing w:before="20" w:after="40"/>
        <w:ind w:left="283"/>
      </w:pPr>
      <w:r>
        <w:rPr>
          <w:rFonts w:ascii="Noto Sans CJK TC" w:hAnsi="Noto Sans CJK TC" w:eastAsia="Noto Sans CJK TC"/>
          <w:color w:val="1A1A2E"/>
          <w:sz w:val="20"/>
        </w:rPr>
        <w:t>✅  JP Campaign CTR 3.05%，高於整體平均，日本受眾對廣告創意反應積極</w:t>
      </w:r>
    </w:p>
    <w:p>
      <w:pPr>
        <w:pStyle w:val="ListBullet"/>
        <w:spacing w:before="20" w:after="40"/>
        <w:ind w:left="283"/>
      </w:pPr>
      <w:r>
        <w:rPr>
          <w:rFonts w:ascii="Noto Sans CJK TC" w:hAnsi="Noto Sans CJK TC" w:eastAsia="Noto Sans CJK TC"/>
          <w:color w:val="1A1A2E"/>
          <w:sz w:val="20"/>
        </w:rPr>
        <w:t>✅  農曆新年後流量迅速恢復至節前水平，廣告定向健康，受眾回流積極</w:t>
      </w:r>
    </w:p>
    <w:p>
      <w:r>
        <w:br w:type="page"/>
      </w:r>
    </w:p>
    <w:p>
      <w:pPr>
        <w:spacing w:before="28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8"/>
        </w:rPr>
        <w:t xml:space="preserve">█  </w:t>
      </w:r>
      <w:r>
        <w:rPr>
          <w:rFonts w:ascii="Noto Sans CJK TC" w:hAnsi="Noto Sans CJK TC" w:eastAsia="Noto Sans CJK TC"/>
          <w:b/>
          <w:color w:val="0D1117"/>
          <w:sz w:val="28"/>
        </w:rPr>
        <w:t>第二章：廣告系列表現 Campaign Performance</w:t>
      </w:r>
    </w:p>
    <w:p>
      <w:pPr>
        <w:spacing w:before="80" w:after="160"/>
      </w:pPr>
      <w:r>
        <w:rPr>
          <w:rFonts w:ascii="Noto Sans CJK TC" w:hAnsi="Noto Sans CJK TC" w:eastAsia="Noto Sans CJK TC"/>
          <w:b w:val="0"/>
          <w:color w:val="1A1A2E"/>
          <w:sz w:val="20"/>
        </w:rPr>
        <w:t>本報告期間共投放兩個廣告系列，分別針對香港（HK）及日本（JP）市場，合計投放費用 HK$1,427.31，覆蓋逾42,400次展示。</w:t>
      </w: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HK vs JP Campaign 對比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111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268"/>
            <w:shd w:val="clear" w:color="auto" w:fill="0D111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Green Tea - HK</w:t>
            </w:r>
          </w:p>
        </w:tc>
        <w:tc>
          <w:tcPr>
            <w:tcW w:type="dxa" w:w="2268"/>
            <w:shd w:val="clear" w:color="auto" w:fill="0D111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Green Tea - JP</w:t>
            </w:r>
          </w:p>
        </w:tc>
        <w:tc>
          <w:tcPr>
            <w:tcW w:type="dxa" w:w="2268"/>
            <w:shd w:val="clear" w:color="auto" w:fill="0D111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整體合計</w:t>
            </w:r>
          </w:p>
        </w:tc>
      </w:tr>
      <w:tr>
        <w:tc>
          <w:tcPr>
            <w:tcW w:type="dxa" w:w="226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展示次數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32,987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9,418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42,405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點擊次數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620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287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907</w:t>
            </w:r>
          </w:p>
        </w:tc>
      </w:tr>
      <w:tr>
        <w:tc>
          <w:tcPr>
            <w:tcW w:type="dxa" w:w="226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CTR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1.88%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3.05%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2.14%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平均 CPC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HK$1.78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HK$1.12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HK$1.57</w:t>
            </w:r>
          </w:p>
        </w:tc>
      </w:tr>
      <w:tr>
        <w:tc>
          <w:tcPr>
            <w:tcW w:type="dxa" w:w="226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廣告費用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HK$1,106.63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HK$320.68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HK$1,427.31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費用佔比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78%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22%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100%</w:t>
            </w:r>
          </w:p>
        </w:tc>
      </w:tr>
      <w:tr>
        <w:tc>
          <w:tcPr>
            <w:tcW w:type="dxa" w:w="226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轉換次數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24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—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24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轉換率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3.87%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2.65%</w:t>
            </w:r>
          </w:p>
        </w:tc>
      </w:tr>
      <w:tr>
        <w:tc>
          <w:tcPr>
            <w:tcW w:type="dxa" w:w="226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CPA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HK$46.11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—</w:t>
            </w:r>
          </w:p>
        </w:tc>
        <w:tc>
          <w:tcPr>
            <w:tcW w:type="dxa" w:w="2268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HK$59.47</w:t>
            </w:r>
          </w:p>
        </w:tc>
      </w:tr>
    </w:tbl>
    <w:p>
      <w:pPr>
        <w:spacing w:before="120" w:after="80"/>
      </w:pPr>
    </w:p>
    <w:p>
      <w:pPr>
        <w:spacing w:before="20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預算分配分析</w:t>
      </w:r>
    </w:p>
    <w:p>
      <w:pPr>
        <w:spacing w:before="80" w:after="160"/>
      </w:pPr>
      <w:r>
        <w:rPr>
          <w:rFonts w:ascii="Noto Sans CJK TC" w:hAnsi="Noto Sans CJK TC" w:eastAsia="Noto Sans CJK TC"/>
          <w:b w:val="0"/>
          <w:color w:val="1A1A2E"/>
          <w:sz w:val="20"/>
        </w:rPr>
        <w:t>HK Campaign 佔整體預算 78%（HK$1,106.63），JP Campaign 佔 22%（HK$320.68）。HK Campaign 集中資源取得 24 次可追蹤轉換，CPA 達 HK$46.11，遠低於香港同類廣告行業基準（HK$50–200）。JP Campaign 雖然尚未設置轉換追蹤，但 CTR 達 3.05%，高於 HK Campaign（1.88%）及整體平均（2.14%），顯示日本市場受眾對廣告創意的接受程度較高，具備進一步投資的潛力。</w:t>
      </w:r>
    </w:p>
    <w:p>
      <w:r>
        <w:br w:type="page"/>
      </w:r>
    </w:p>
    <w:p>
      <w:pPr>
        <w:spacing w:before="28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8"/>
        </w:rPr>
        <w:t xml:space="preserve">█  </w:t>
      </w:r>
      <w:r>
        <w:rPr>
          <w:rFonts w:ascii="Noto Sans CJK TC" w:hAnsi="Noto Sans CJK TC" w:eastAsia="Noto Sans CJK TC"/>
          <w:b/>
          <w:color w:val="0D1117"/>
          <w:sz w:val="28"/>
        </w:rPr>
        <w:t>第三章：每日趨勢分析 Daily Trend Analysis</w:t>
      </w:r>
    </w:p>
    <w:p>
      <w:pPr>
        <w:spacing w:before="80" w:after="160"/>
      </w:pPr>
      <w:r>
        <w:rPr>
          <w:rFonts w:ascii="Noto Sans CJK TC" w:hAnsi="Noto Sans CJK TC" w:eastAsia="Noto Sans CJK TC"/>
          <w:b w:val="0"/>
          <w:color w:val="1A1A2E"/>
          <w:sz w:val="20"/>
        </w:rPr>
        <w:t>分析期間橫跨農曆新年假期，流量呈現明顯的三段式變化。透過對每日數據的系統分析，可以清晰看到農曆新年對廣告成效的影響及其後的恢復趨勢。</w:t>
      </w: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農曆新年三段時期對比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0D111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1984"/>
            <w:shd w:val="clear" w:color="auto" w:fill="0D111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日期範圍</w:t>
            </w:r>
          </w:p>
        </w:tc>
        <w:tc>
          <w:tcPr>
            <w:tcW w:type="dxa" w:w="1417"/>
            <w:shd w:val="clear" w:color="auto" w:fill="0D111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平均點擊/天</w:t>
            </w:r>
          </w:p>
        </w:tc>
        <w:tc>
          <w:tcPr>
            <w:tcW w:type="dxa" w:w="1417"/>
            <w:shd w:val="clear" w:color="auto" w:fill="0D111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平均費用/天</w:t>
            </w:r>
          </w:p>
        </w:tc>
        <w:tc>
          <w:tcPr>
            <w:tcW w:type="dxa" w:w="1984"/>
            <w:shd w:val="clear" w:color="auto" w:fill="0D111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變化</w:t>
            </w:r>
          </w:p>
        </w:tc>
      </w:tr>
      <w:tr>
        <w:tc>
          <w:tcPr>
            <w:tcW w:type="dxa" w:w="226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Pre-CNY 農曆新年前</w:t>
            </w:r>
          </w:p>
        </w:tc>
        <w:tc>
          <w:tcPr>
            <w:tcW w:type="dxa" w:w="1984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Jan 22 – Jan 28</w:t>
            </w:r>
          </w:p>
        </w:tc>
        <w:tc>
          <w:tcPr>
            <w:tcW w:type="dxa" w:w="141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33.6 次</w:t>
            </w:r>
          </w:p>
        </w:tc>
        <w:tc>
          <w:tcPr>
            <w:tcW w:type="dxa" w:w="141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HK$55.68</w:t>
            </w:r>
          </w:p>
        </w:tc>
        <w:tc>
          <w:tcPr>
            <w:tcW w:type="dxa" w:w="1984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666666"/>
                <w:sz w:val="18"/>
              </w:rPr>
              <w:t>📊 基準 Baseline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CNY 農曆新年期間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Jan 29 – Feb 11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21.3 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HK$36.75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DC2626"/>
                <w:sz w:val="18"/>
              </w:rPr>
              <w:t>▼ -37%</w:t>
            </w:r>
          </w:p>
        </w:tc>
      </w:tr>
      <w:tr>
        <w:tc>
          <w:tcPr>
            <w:tcW w:type="dxa" w:w="2268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Post-CNY 農曆新年後</w:t>
            </w:r>
          </w:p>
        </w:tc>
        <w:tc>
          <w:tcPr>
            <w:tcW w:type="dxa" w:w="1984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Feb 12 – Feb 22</w:t>
            </w:r>
          </w:p>
        </w:tc>
        <w:tc>
          <w:tcPr>
            <w:tcW w:type="dxa" w:w="141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32.0 次</w:t>
            </w:r>
          </w:p>
        </w:tc>
        <w:tc>
          <w:tcPr>
            <w:tcW w:type="dxa" w:w="141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HK$45.89</w:t>
            </w:r>
          </w:p>
        </w:tc>
        <w:tc>
          <w:tcPr>
            <w:tcW w:type="dxa" w:w="1984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59669"/>
                <w:sz w:val="18"/>
              </w:rPr>
              <w:t>↑ 基本恢復</w:t>
            </w:r>
          </w:p>
        </w:tc>
      </w:tr>
    </w:tbl>
    <w:p>
      <w:pPr>
        <w:spacing w:before="120" w:after="80"/>
      </w:pPr>
    </w:p>
    <w:p>
      <w:pPr>
        <w:spacing w:before="120" w:after="160"/>
      </w:pPr>
      <w:r>
        <w:rPr>
          <w:rFonts w:ascii="Noto Sans CJK TC" w:hAnsi="Noto Sans CJK TC" w:eastAsia="Noto Sans CJK TC"/>
          <w:b w:val="0"/>
          <w:color w:val="1A1A2E"/>
          <w:sz w:val="20"/>
        </w:rPr>
        <w:t>農曆新年期間（1月29日至2月11日）搜尋行為下降屬正常季節性規律，點擊量較假期前下降約37%。農曆新年後（2月12日起），流量迅速反彈，每日平均點擊32次，基本恢復至節前水平，顯示廣告定向精準，受眾在假期後積極回流。</w:t>
      </w: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關鍵日期記錄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20"/>
            <w:shd w:val="clear" w:color="auto" w:fill="0096C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17"/>
            <w:shd w:val="clear" w:color="auto" w:fill="0096C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記錄</w:t>
            </w:r>
          </w:p>
        </w:tc>
        <w:tc>
          <w:tcPr>
            <w:tcW w:type="dxa" w:w="1417"/>
            <w:shd w:val="clear" w:color="auto" w:fill="0096C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點擊/展示數值</w:t>
            </w:r>
          </w:p>
        </w:tc>
        <w:tc>
          <w:tcPr>
            <w:tcW w:type="dxa" w:w="1247"/>
            <w:shd w:val="clear" w:color="auto" w:fill="0096C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當日費用</w:t>
            </w:r>
          </w:p>
        </w:tc>
        <w:tc>
          <w:tcPr>
            <w:tcW w:type="dxa" w:w="3969"/>
            <w:shd w:val="clear" w:color="auto" w:fill="0096C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020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2月6日</w:t>
            </w:r>
          </w:p>
        </w:tc>
        <w:tc>
          <w:tcPr>
            <w:tcW w:type="dxa" w:w="141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最高點擊日</w:t>
            </w:r>
          </w:p>
        </w:tc>
        <w:tc>
          <w:tcPr>
            <w:tcW w:type="dxa" w:w="141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65 次</w:t>
            </w:r>
          </w:p>
        </w:tc>
        <w:tc>
          <w:tcPr>
            <w:tcW w:type="dxa" w:w="124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HK$68.23</w:t>
            </w:r>
          </w:p>
        </w:tc>
        <w:tc>
          <w:tcPr>
            <w:tcW w:type="dxa" w:w="3969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春節期間高峰，節假日受眾活躍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2月21日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最高展示日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3,941 次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HK$47.12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節後流量最高點，品牌觸及最廣</w:t>
            </w:r>
          </w:p>
        </w:tc>
      </w:tr>
    </w:tbl>
    <w:p>
      <w:pPr>
        <w:spacing w:before="120" w:after="80"/>
      </w:pPr>
    </w:p>
    <w:p>
      <w:pPr>
        <w:spacing w:before="160" w:after="160"/>
        <w:ind w:left="170"/>
        <w:shd w:val="clear" w:color="auto" w:fill="FFF8E1"/>
        <w:pBdr>
          <w:left w:val="single" w:sz="12" w:space="4" w:color="D97706"/>
        </w:pBdr>
      </w:pPr>
      <w:r>
        <w:rPr>
          <w:rFonts w:ascii="Noto Sans CJK TC" w:hAnsi="Noto Sans CJK TC" w:eastAsia="Noto Sans CJK TC"/>
          <w:b/>
          <w:color w:val="D97706"/>
          <w:sz w:val="20"/>
        </w:rPr>
        <w:t>⚠️  異常警示：2月9日（1次點擊，CPC HK$23.27）</w:t>
        <w:br/>
      </w:r>
      <w:r>
        <w:rPr>
          <w:rFonts w:ascii="Noto Sans CJK TC" w:hAnsi="Noto Sans CJK TC" w:eastAsia="Noto Sans CJK TC"/>
          <w:color w:val="1A1A2E"/>
          <w:sz w:val="19"/>
        </w:rPr>
        <w:t>2月9日（大年初十一）錄得單日僅1次點擊，但 CPC 高達 HK$23.27，遠超正常均值 HK$1.57（約15倍）。此情況可能源於無效點擊、競價異常或 Google 系統波動，建議向 Google Ads 支援中心提交查詢，確認是否涉及無效流量退款。</w:t>
      </w:r>
    </w:p>
    <w:p>
      <w:r>
        <w:br w:type="page"/>
      </w:r>
    </w:p>
    <w:p>
      <w:pPr>
        <w:spacing w:before="28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8"/>
        </w:rPr>
        <w:t xml:space="preserve">█  </w:t>
      </w:r>
      <w:r>
        <w:rPr>
          <w:rFonts w:ascii="Noto Sans CJK TC" w:hAnsi="Noto Sans CJK TC" w:eastAsia="Noto Sans CJK TC"/>
          <w:b/>
          <w:color w:val="0D1117"/>
          <w:sz w:val="28"/>
        </w:rPr>
        <w:t>第四章：廣告位置分析 Placement Analysis</w:t>
      </w:r>
    </w:p>
    <w:p>
      <w:pPr>
        <w:spacing w:before="80" w:after="160"/>
      </w:pPr>
      <w:r>
        <w:rPr>
          <w:rFonts w:ascii="Noto Sans CJK TC" w:hAnsi="Noto Sans CJK TC" w:eastAsia="Noto Sans CJK TC"/>
          <w:b w:val="0"/>
          <w:color w:val="1A1A2E"/>
          <w:sz w:val="20"/>
        </w:rPr>
        <w:t>根據本次廣告系列設定及 Google Ads 平台特性，以下為廣告刊登位置及受眾觸及的綜合分析。</w:t>
      </w: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YouTube 影片廣告（主要刊登位置）</w:t>
      </w:r>
    </w:p>
    <w:p>
      <w:pPr>
        <w:spacing w:before="40" w:after="120"/>
      </w:pPr>
      <w:r>
        <w:rPr>
          <w:rFonts w:ascii="Noto Sans CJK TC" w:hAnsi="Noto Sans CJK TC" w:eastAsia="Noto Sans CJK TC"/>
          <w:b w:val="0"/>
          <w:color w:val="1A1A2E"/>
          <w:sz w:val="20"/>
        </w:rPr>
        <w:t>Green Tea 廣告的主要刊登位置為 YouTube 影片廣告（Display/YouTube Network），廣告形式以影片前置廣告（Pre-roll）及中置廣告（Mid-roll）為主。YouTube 平台的特性令廣告能在觀眾主動觀看相關內容時呈現，有效提高品牌曝光及相關性。</w:t>
      </w: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Display Network 覆蓋</w:t>
      </w:r>
    </w:p>
    <w:p>
      <w:pPr>
        <w:spacing w:before="40" w:after="120"/>
      </w:pPr>
      <w:r>
        <w:rPr>
          <w:rFonts w:ascii="Noto Sans CJK TC" w:hAnsi="Noto Sans CJK TC" w:eastAsia="Noto Sans CJK TC"/>
          <w:b w:val="0"/>
          <w:color w:val="1A1A2E"/>
          <w:sz w:val="20"/>
        </w:rPr>
        <w:t>Display Network 廣告除 YouTube 外，亦涵蓋 Google 合作夥伴網站及應用程式，進一步擴大品牌在數位媒體的觸及範圍。此廣告形式有助於在潛在客戶瀏覽相關內容時，以視覺化方式加深品牌印象，尤其對於注重品牌建設的市場推廣策略具有顯著優勢。</w:t>
      </w: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受眾觸及分析</w:t>
      </w:r>
    </w:p>
    <w:p>
      <w:pPr>
        <w:spacing w:before="40" w:after="120"/>
      </w:pPr>
      <w:r>
        <w:rPr>
          <w:rFonts w:ascii="Noto Sans CJK TC" w:hAnsi="Noto Sans CJK TC" w:eastAsia="Noto Sans CJK TC"/>
          <w:b w:val="0"/>
          <w:color w:val="1A1A2E"/>
          <w:sz w:val="20"/>
        </w:rPr>
        <w:t>本次廣告系列針對香港（HK Campaign）及日本（JP Campaign）兩個地區市場投放。HK Campaign 針對香港本地受眾，透過興趣分類及關鍵詞定向精準觸及目標客群，錄得 32,987 次展示及 620 次點擊，轉換成效明確。</w:t>
      </w:r>
    </w:p>
    <w:p>
      <w:pPr>
        <w:spacing w:before="40" w:after="160"/>
      </w:pPr>
      <w:r>
        <w:rPr>
          <w:rFonts w:ascii="Noto Sans CJK TC" w:hAnsi="Noto Sans CJK TC" w:eastAsia="Noto Sans CJK TC"/>
          <w:b w:val="0"/>
          <w:color w:val="1A1A2E"/>
          <w:sz w:val="20"/>
        </w:rPr>
        <w:t>JP Campaign 針對日本市場受眾，CTR 達 3.05%，顯示日本受眾對 Green Tea 廣告創意具有較高興趣。整體而言，廣告觸及效果良好，透過 YouTube 平台的精準定向，成功在兩個不同文化背景的市場中建立品牌存在感。</w:t>
      </w:r>
    </w:p>
    <w:p>
      <w:r>
        <w:br w:type="page"/>
      </w:r>
    </w:p>
    <w:p>
      <w:pPr>
        <w:spacing w:before="28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8"/>
        </w:rPr>
        <w:t xml:space="preserve">█  </w:t>
      </w:r>
      <w:r>
        <w:rPr>
          <w:rFonts w:ascii="Noto Sans CJK TC" w:hAnsi="Noto Sans CJK TC" w:eastAsia="Noto Sans CJK TC"/>
          <w:b/>
          <w:color w:val="0D1117"/>
          <w:sz w:val="28"/>
        </w:rPr>
        <w:t>第五章：分析與建議 Insights &amp; Recommendations</w:t>
      </w: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✅  正面發現 Key Wins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059669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0FFF7"/>
          </w:tcPr>
          <w:p>
            <w:pPr>
              <w:spacing w:before="40" w:after="40"/>
            </w:pPr>
            <w:r>
              <w:rPr>
                <w:rFonts w:ascii="Noto Sans CJK TC" w:hAnsi="Noto Sans CJK TC" w:eastAsia="Noto Sans CJK TC"/>
                <w:b/>
                <w:color w:val="059669"/>
                <w:sz w:val="20"/>
              </w:rPr>
              <w:t>Win 1: HK Campaign CPA 優異</w:t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CPA HK$46.11，低於香港同類廣告行業基準（HK$50–200），廣告費用效益優良，每次轉換成本具競爭力。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059669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0FFF7"/>
          </w:tcPr>
          <w:p>
            <w:pPr>
              <w:spacing w:before="40" w:after="40"/>
            </w:pPr>
            <w:r>
              <w:rPr>
                <w:rFonts w:ascii="Noto Sans CJK TC" w:hAnsi="Noto Sans CJK TC" w:eastAsia="Noto Sans CJK TC"/>
                <w:b/>
                <w:color w:val="059669"/>
                <w:sz w:val="20"/>
              </w:rPr>
              <w:t>Win 2: JP Campaign CTR 突出</w:t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CTR 3.05%，高於整體平均（2.14%），顯示日本市場受眾對廣告創意反應良好，具備進一步擴展的潛力。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059669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0FFF7"/>
          </w:tcPr>
          <w:p>
            <w:pPr>
              <w:spacing w:before="40" w:after="40"/>
            </w:pPr>
            <w:r>
              <w:rPr>
                <w:rFonts w:ascii="Noto Sans CJK TC" w:hAnsi="Noto Sans CJK TC" w:eastAsia="Noto Sans CJK TC"/>
                <w:b/>
                <w:color w:val="059669"/>
                <w:sz w:val="20"/>
              </w:rPr>
              <w:t>Win 3: 農曆新年後流量強勢恢復</w:t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節後流量迅速恢復至節前水平，廣告定向健康，受眾回流積極，顯示品牌已在目標市場建立良好的認知基礎。</w:t>
            </w:r>
          </w:p>
        </w:tc>
      </w:tr>
    </w:tbl>
    <w:p>
      <w:pPr>
        <w:spacing w:before="0" w:after="80"/>
      </w:pPr>
    </w:p>
    <w:p>
      <w:pPr>
        <w:spacing w:before="80" w:after="80"/>
      </w:pPr>
    </w:p>
    <w:p>
      <w:pPr>
        <w:spacing w:before="16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⚠️  需要關注的地方 Issues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D97706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FFBEB"/>
          </w:tcPr>
          <w:p>
            <w:pPr>
              <w:spacing w:before="40" w:after="40"/>
            </w:pPr>
            <w:r>
              <w:rPr>
                <w:rFonts w:ascii="Noto Sans CJK TC" w:hAnsi="Noto Sans CJK TC" w:eastAsia="Noto Sans CJK TC"/>
                <w:b/>
                <w:color w:val="D97706"/>
                <w:sz w:val="20"/>
              </w:rPr>
              <w:t>Issue 1: 整體 CTR 接近行業下限</w:t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整體 CTR 2.14% 接近行業基準下限（2.5–5%），廣告文案及創意素材有進一步優化空間，建議透過 A/B 測試找出更具吸引力的廣告標題及描述。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D97706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FFBEB"/>
          </w:tcPr>
          <w:p>
            <w:pPr>
              <w:spacing w:before="40" w:after="40"/>
            </w:pPr>
            <w:r>
              <w:rPr>
                <w:rFonts w:ascii="Noto Sans CJK TC" w:hAnsi="Noto Sans CJK TC" w:eastAsia="Noto Sans CJK TC"/>
                <w:b/>
                <w:color w:val="D97706"/>
                <w:sz w:val="20"/>
              </w:rPr>
              <w:t>Issue 2: 2月9日異常高 CPC</w:t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2月9日錄得 CPC HK$23.27（正常均值約 HK$1.57），屬異常情況。建議盡快向 Google Ads 支援中心查詢，確認是否涉及無效點擊退款，並審閱帳戶安全設定。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D97706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FFBEB"/>
          </w:tcPr>
          <w:p>
            <w:pPr>
              <w:spacing w:before="40" w:after="40"/>
            </w:pPr>
            <w:r>
              <w:rPr>
                <w:rFonts w:ascii="Noto Sans CJK TC" w:hAnsi="Noto Sans CJK TC" w:eastAsia="Noto Sans CJK TC"/>
                <w:b/>
                <w:color w:val="D97706"/>
                <w:sz w:val="20"/>
              </w:rPr>
              <w:t>Issue 3: 預算集中度較高</w:t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整體廣告費用 HK$1,427 中，78% 集中於 HK Campaign，預算分配較為集中。考慮到 JP Campaign 的 CTR 表現，可評估適度調整預算比例，以探索更大的市場空間。</w:t>
            </w:r>
          </w:p>
        </w:tc>
      </w:tr>
    </w:tbl>
    <w:p>
      <w:pPr>
        <w:spacing w:before="0" w:after="80"/>
      </w:pPr>
    </w:p>
    <w:p>
      <w:pPr>
        <w:spacing w:before="80" w:after="80"/>
      </w:pPr>
    </w:p>
    <w:p>
      <w:r>
        <w:br w:type="page"/>
      </w:r>
    </w:p>
    <w:p>
      <w:pPr>
        <w:spacing w:before="8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8"/>
        </w:rPr>
        <w:t xml:space="preserve">█  </w:t>
      </w:r>
      <w:r>
        <w:rPr>
          <w:rFonts w:ascii="Noto Sans CJK TC" w:hAnsi="Noto Sans CJK TC" w:eastAsia="Noto Sans CJK TC"/>
          <w:b/>
          <w:color w:val="0D1117"/>
          <w:sz w:val="28"/>
        </w:rPr>
        <w:t>策略建議 Recommendations</w:t>
      </w:r>
    </w:p>
    <w:p>
      <w:pPr>
        <w:spacing w:before="120" w:after="200"/>
        <w:ind w:left="170"/>
        <w:shd w:val="clear" w:color="auto" w:fill="E8F8FC"/>
        <w:pBdr>
          <w:left w:val="single" w:sz="12" w:space="4" w:color="00B4D8"/>
        </w:pBdr>
      </w:pPr>
      <w:r>
        <w:rPr>
          <w:rFonts w:ascii="Noto Sans CJK TC" w:hAnsi="Noto Sans CJK TC" w:eastAsia="Noto Sans CJK TC"/>
          <w:b/>
          <w:color w:val="00B4D8"/>
          <w:sz w:val="20"/>
        </w:rPr>
        <w:t>📌  重要聲明</w:t>
        <w:br/>
      </w:r>
      <w:r>
        <w:rPr>
          <w:rFonts w:ascii="Noto Sans CJK TC" w:hAnsi="Noto Sans CJK TC" w:eastAsia="Noto Sans CJK TC"/>
          <w:color w:val="1A1A2E"/>
          <w:sz w:val="19"/>
        </w:rPr>
        <w:t>以下為 Area2 (HK) Limited 的後續 SEM 管理建議。請注意：此次服務範圍為廣告帳戶設定及本報告。以下各項持續優化服務屬獨立收費項目，如有興趣繼續合作，歡迎向 Area2 查詢報價。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00B4D8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5FCFF"/>
          </w:tcPr>
          <w:p>
            <w:pPr>
              <w:spacing w:before="60" w:after="60"/>
            </w:pPr>
            <w:r>
              <w:rPr>
                <w:rFonts w:ascii="Noto Sans CJK TC" w:hAnsi="Noto Sans CJK TC" w:eastAsia="Noto Sans CJK TC"/>
                <w:b/>
                <w:color w:val="0D1117"/>
                <w:sz w:val="20"/>
              </w:rPr>
              <w:t xml:space="preserve">📊  定期成效追蹤報告  </w:t>
            </w:r>
            <w:r>
              <w:rPr>
                <w:rFonts w:ascii="Arial" w:hAnsi="Arial"/>
                <w:i/>
                <w:color w:val="0096C7"/>
                <w:sz w:val="17"/>
              </w:rPr>
              <w:t>(月度報告服務)</w:t>
            </w:r>
            <w:r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建立月度/季度廣告成效追蹤報告，持續監察 CTR、CPC、CPA 等關鍵指標，及時發現異常並調整策略，避免廣告費用浪費。</w:t>
            </w:r>
          </w:p>
        </w:tc>
      </w:tr>
    </w:tbl>
    <w:p>
      <w:pPr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00B4D8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5FCFF"/>
          </w:tcPr>
          <w:p>
            <w:pPr>
              <w:spacing w:before="60" w:after="60"/>
            </w:pPr>
            <w:r>
              <w:rPr>
                <w:rFonts w:ascii="Noto Sans CJK TC" w:hAnsi="Noto Sans CJK TC" w:eastAsia="Noto Sans CJK TC"/>
                <w:b/>
                <w:color w:val="0D1117"/>
                <w:sz w:val="20"/>
              </w:rPr>
              <w:t xml:space="preserve">🎯  廣告文案 A/B 測試  </w:t>
            </w:r>
            <w:r>
              <w:rPr>
                <w:rFonts w:ascii="Arial" w:hAnsi="Arial"/>
                <w:i/>
                <w:color w:val="0096C7"/>
                <w:sz w:val="17"/>
              </w:rPr>
              <w:t>(廣告管理服務)</w:t>
            </w:r>
            <w:r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針對香港市場設計多組廣告標題及描述，透過系統性 A/B 測試找出最佳創意組合，目標將整體 CTR 從現時 2.14% 提升至 3%+。</w:t>
            </w:r>
          </w:p>
        </w:tc>
      </w:tr>
    </w:tbl>
    <w:p>
      <w:pPr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00B4D8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5FCFF"/>
          </w:tcPr>
          <w:p>
            <w:pPr>
              <w:spacing w:before="60" w:after="60"/>
            </w:pPr>
            <w:r>
              <w:rPr>
                <w:rFonts w:ascii="Noto Sans CJK TC" w:hAnsi="Noto Sans CJK TC" w:eastAsia="Noto Sans CJK TC"/>
                <w:b/>
                <w:color w:val="0D1117"/>
                <w:sz w:val="20"/>
              </w:rPr>
              <w:t xml:space="preserve">📅  智能出價策略設定  </w:t>
            </w:r>
            <w:r>
              <w:rPr>
                <w:rFonts w:ascii="Arial" w:hAnsi="Arial"/>
                <w:i/>
                <w:color w:val="0096C7"/>
                <w:sz w:val="17"/>
              </w:rPr>
              <w:t>(廣告管理服務)</w:t>
            </w:r>
            <w:r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根據每日流量趨勢（週六/日高峰、平日低谷）設定自動出價調整，在高流量時段加碼投放，低流量時段控制支出，提升整體費效比。</w:t>
            </w:r>
          </w:p>
        </w:tc>
      </w:tr>
    </w:tbl>
    <w:p>
      <w:pPr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00B4D8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5FCFF"/>
          </w:tcPr>
          <w:p>
            <w:pPr>
              <w:spacing w:before="60" w:after="60"/>
            </w:pPr>
            <w:r>
              <w:rPr>
                <w:rFonts w:ascii="Noto Sans CJK TC" w:hAnsi="Noto Sans CJK TC" w:eastAsia="Noto Sans CJK TC"/>
                <w:b/>
                <w:color w:val="0D1117"/>
                <w:sz w:val="20"/>
              </w:rPr>
              <w:t xml:space="preserve">🔄  再行銷受眾建立  </w:t>
            </w:r>
            <w:r>
              <w:rPr>
                <w:rFonts w:ascii="Arial" w:hAnsi="Arial"/>
                <w:i/>
                <w:color w:val="0096C7"/>
                <w:sz w:val="17"/>
              </w:rPr>
              <w:t>(再行銷設定服務)</w:t>
            </w:r>
            <w:r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建立已觀看廣告用戶的再行銷受眾清單，針對已接觸品牌的潛在客戶進行二次觸及，提升品牌記憶度及最終轉換率。</w:t>
            </w:r>
          </w:p>
        </w:tc>
      </w:tr>
    </w:tbl>
    <w:p>
      <w:pPr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40"/>
            <w:shd w:val="clear" w:color="auto" w:fill="00B4D8"/>
          </w:tcPr>
          <w:p>
            <w:r>
              <w:t xml:space="preserve"> </w:t>
            </w:r>
          </w:p>
        </w:tc>
        <w:tc>
          <w:tcPr>
            <w:tcW w:type="dxa" w:w="8731"/>
            <w:shd w:val="clear" w:color="auto" w:fill="F5FCFF"/>
          </w:tcPr>
          <w:p>
            <w:pPr>
              <w:spacing w:before="60" w:after="60"/>
            </w:pPr>
            <w:r>
              <w:rPr>
                <w:rFonts w:ascii="Noto Sans CJK TC" w:hAnsi="Noto Sans CJK TC" w:eastAsia="Noto Sans CJK TC"/>
                <w:b/>
                <w:color w:val="0D1117"/>
                <w:sz w:val="20"/>
              </w:rPr>
              <w:t xml:space="preserve">📈  季節性廣告策略規劃  </w:t>
            </w:r>
            <w:r>
              <w:rPr>
                <w:rFonts w:ascii="Arial" w:hAnsi="Arial"/>
                <w:i/>
                <w:color w:val="0096C7"/>
                <w:sz w:val="17"/>
              </w:rPr>
              <w:t>(年度策略服務)</w:t>
            </w:r>
            <w:r>
              <w:br/>
            </w:r>
            <w:r>
              <w:rPr>
                <w:rFonts w:ascii="Noto Sans CJK TC" w:hAnsi="Noto Sans CJK TC" w:eastAsia="Noto Sans CJK TC"/>
                <w:color w:val="1A1A2E"/>
                <w:sz w:val="19"/>
              </w:rPr>
              <w:t>針對農曆新年、聖誕、復活節等重要節日預先制定廣告預算調整計劃，在節日前後最大化品牌曝光效益，同時規避節日期間的流量下跌風險。</w:t>
            </w:r>
          </w:p>
        </w:tc>
      </w:tr>
    </w:tbl>
    <w:p>
      <w:pPr>
        <w:spacing w:before="0" w:after="100"/>
      </w:pPr>
    </w:p>
    <w:p>
      <w:pPr>
        <w:spacing w:before="120" w:after="80"/>
      </w:pPr>
    </w:p>
    <w:p>
      <w:pPr>
        <w:spacing w:before="20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30天行動計劃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0D111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2835"/>
            <w:shd w:val="clear" w:color="auto" w:fill="0D111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行動項目</w:t>
            </w:r>
          </w:p>
        </w:tc>
        <w:tc>
          <w:tcPr>
            <w:tcW w:type="dxa" w:w="4819"/>
            <w:shd w:val="clear" w:color="auto" w:fill="0D111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41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DC2626"/>
                <w:sz w:val="18"/>
              </w:rPr>
              <w:t>🔴  High</w:t>
            </w:r>
          </w:p>
        </w:tc>
        <w:tc>
          <w:tcPr>
            <w:tcW w:type="dxa" w:w="2835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查詢2月9日異常 CPC</w:t>
            </w:r>
          </w:p>
        </w:tc>
        <w:tc>
          <w:tcPr>
            <w:tcW w:type="dxa" w:w="4819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向 Google Ads 支援中心查詢，確認是否屬無效點擊，申請退款審查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D97706"/>
                <w:sz w:val="18"/>
              </w:rPr>
              <w:t>🟡  Medium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審查廣告文案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設計3–5組新標題及描述進行 A/B 測試，目標 CTR &gt; 2.5%</w:t>
            </w:r>
          </w:p>
        </w:tc>
      </w:tr>
      <w:tr>
        <w:tc>
          <w:tcPr>
            <w:tcW w:type="dxa" w:w="1417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D97706"/>
                <w:sz w:val="18"/>
              </w:rPr>
              <w:t>🟡  Medium</w:t>
            </w:r>
          </w:p>
        </w:tc>
        <w:tc>
          <w:tcPr>
            <w:tcW w:type="dxa" w:w="2835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優化出價時間設定</w:t>
            </w:r>
          </w:p>
        </w:tc>
        <w:tc>
          <w:tcPr>
            <w:tcW w:type="dxa" w:w="4819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週六/日高峰時段加碼，平日低谷時段減少出價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59669"/>
                <w:sz w:val="18"/>
              </w:rPr>
              <w:t>🟢  Low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評估預算分配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18"/>
              </w:rPr>
              <w:t>分析 JP Campaign 成效，考慮增加比例（現佔22%，CTR 表現較佳）</w:t>
            </w:r>
          </w:p>
        </w:tc>
      </w:tr>
    </w:tbl>
    <w:p>
      <w:pPr>
        <w:spacing w:before="160" w:after="80"/>
      </w:pPr>
    </w:p>
    <w:p>
      <w:pPr>
        <w:spacing w:before="200" w:after="80"/>
        <w:pBdr>
          <w:bottom w:val="single" w:sz="4" w:space="1" w:color="00B4D8"/>
        </w:pBdr>
      </w:pPr>
      <w:r>
        <w:rPr>
          <w:rFonts w:ascii="Arial" w:hAnsi="Arial"/>
          <w:color w:val="00B4D8"/>
          <w:sz w:val="22"/>
        </w:rPr>
        <w:t xml:space="preserve">◆  </w:t>
      </w:r>
      <w:r>
        <w:rPr>
          <w:rFonts w:ascii="Noto Sans CJK TC" w:hAnsi="Noto Sans CJK TC" w:eastAsia="Noto Sans CJK TC"/>
          <w:b/>
          <w:color w:val="0D1117"/>
          <w:sz w:val="22"/>
        </w:rPr>
        <w:t>預期成效（建議執行後3個月）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0096C7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701"/>
            <w:shd w:val="clear" w:color="auto" w:fill="0096C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現況</w:t>
            </w:r>
          </w:p>
        </w:tc>
        <w:tc>
          <w:tcPr>
            <w:tcW w:type="dxa" w:w="2835"/>
            <w:shd w:val="clear" w:color="auto" w:fill="0096C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預期（3個月後）</w:t>
            </w:r>
          </w:p>
        </w:tc>
        <w:tc>
          <w:tcPr>
            <w:tcW w:type="dxa" w:w="2835"/>
            <w:shd w:val="clear" w:color="auto" w:fill="0096C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改善幅度</w:t>
            </w:r>
          </w:p>
        </w:tc>
      </w:tr>
      <w:tr>
        <w:tc>
          <w:tcPr>
            <w:tcW w:type="dxa" w:w="1701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CTR</w:t>
            </w:r>
          </w:p>
        </w:tc>
        <w:tc>
          <w:tcPr>
            <w:tcW w:type="dxa" w:w="1701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2.14%</w:t>
            </w:r>
          </w:p>
        </w:tc>
        <w:tc>
          <w:tcPr>
            <w:tcW w:type="dxa" w:w="2835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2.8–3.2%</w:t>
            </w:r>
          </w:p>
        </w:tc>
        <w:tc>
          <w:tcPr>
            <w:tcW w:type="dxa" w:w="2835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59669"/>
                <w:sz w:val="18"/>
              </w:rPr>
              <w:t>+30–50%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CPC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HK$1.57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HK$1.30–1.45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59669"/>
                <w:sz w:val="18"/>
              </w:rPr>
              <w:t>-10–17%</w:t>
            </w:r>
          </w:p>
        </w:tc>
      </w:tr>
      <w:tr>
        <w:tc>
          <w:tcPr>
            <w:tcW w:type="dxa" w:w="1701"/>
            <w:shd w:val="clear" w:color="auto" w:fill="E8F8FC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CPA</w:t>
            </w:r>
          </w:p>
        </w:tc>
        <w:tc>
          <w:tcPr>
            <w:tcW w:type="dxa" w:w="1701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HK$59.47</w:t>
            </w:r>
          </w:p>
        </w:tc>
        <w:tc>
          <w:tcPr>
            <w:tcW w:type="dxa" w:w="2835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HK$40–50</w:t>
            </w:r>
          </w:p>
        </w:tc>
        <w:tc>
          <w:tcPr>
            <w:tcW w:type="dxa" w:w="2835"/>
            <w:shd w:val="clear" w:color="auto" w:fill="E8F8FC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59669"/>
                <w:sz w:val="18"/>
              </w:rPr>
              <w:t>-15–33%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1A1A2E"/>
                <w:sz w:val="18"/>
              </w:rPr>
              <w:t>廣告效益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A1A2E"/>
                <w:sz w:val="18"/>
              </w:rPr>
              <w:t>基準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096C7"/>
                <w:sz w:val="18"/>
              </w:rPr>
              <w:t>估計全面提升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059669"/>
                <w:sz w:val="18"/>
              </w:rPr>
              <w:t>+25–40%</w:t>
            </w:r>
          </w:p>
        </w:tc>
      </w:tr>
    </w:tbl>
    <w:p>
      <w:pPr>
        <w:spacing w:before="200" w:after="80"/>
      </w:pPr>
    </w:p>
    <w:p>
      <w:pPr>
        <w:spacing w:before="400" w:after="80"/>
        <w:pBdr>
          <w:top w:val="single" w:sz="6" w:space="1" w:color="00B4D8"/>
        </w:pBdr>
      </w:pPr>
      <w:r>
        <w:rPr>
          <w:rFonts w:ascii="Arial" w:hAnsi="Arial"/>
          <w:color w:val="666666"/>
          <w:sz w:val="17"/>
        </w:rPr>
        <w:t>Area2 (HK) Limited  ·  info@area2.com  ·  +852 9565 1459  ·  www.area2.com</w:t>
      </w:r>
    </w:p>
    <w:p>
      <w:pPr>
        <w:spacing w:before="0" w:after="0"/>
      </w:pPr>
      <w:r>
        <w:rPr>
          <w:rFonts w:ascii="Noto Sans CJK TC" w:hAnsi="Noto Sans CJK TC" w:eastAsia="Noto Sans CJK TC"/>
          <w:i/>
          <w:color w:val="666666"/>
          <w:sz w:val="16"/>
        </w:rPr>
        <w:t>本報告資料僅供客戶內部參考，請勿對外轉發。© 2026 Area2 (HK) Limited. All rights reserved.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