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86728"/>
          <w:sz w:val="44"/>
        </w:rPr>
        <w:t>LP13 LA MIRABELLE 海瑅灣</w:t>
      </w:r>
    </w:p>
    <w:p>
      <w:pPr>
        <w:jc w:val="center"/>
      </w:pPr>
      <w:r>
        <w:rPr>
          <w:b/>
          <w:sz w:val="36"/>
        </w:rPr>
        <w:t>網站說明文件</w:t>
      </w:r>
    </w:p>
    <w:p/>
    <w:p>
      <w:pPr>
        <w:jc w:val="center"/>
      </w:pPr>
      <w:r>
        <w:rPr>
          <w:color w:val="646464"/>
          <w:sz w:val="24"/>
        </w:rPr>
        <w:t>版本：v1.0　|　日期：2026年3月11日</w:t>
      </w:r>
    </w:p>
    <w:p/>
    <w:p>
      <w:pPr>
        <w:jc w:val="center"/>
      </w:pPr>
      <w:r>
        <w:rPr>
          <w:color w:val="646464"/>
          <w:sz w:val="22"/>
        </w:rPr>
        <w:t>Hostlink (HK) Limited</w:t>
      </w:r>
    </w:p>
    <w:p>
      <w:r>
        <w:br w:type="page"/>
      </w:r>
    </w:p>
    <w:p>
      <w:pPr>
        <w:pStyle w:val="Heading1"/>
      </w:pPr>
      <w:r>
        <w:rPr>
          <w:color w:val="886728"/>
        </w:rPr>
        <w:t>1. 項目概覽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703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項目名稱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LP13 — LA MIRABELLE 海瑅灣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期數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Phase 1：海瑅灣 I（LA MIRABELLE 海瑅灣 I）</w:t>
              <w:br/>
              <w:t>Phase 2：海瑅灣 II（LA MIRABELLE 海瑅灣 II）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發展商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錦上物業發展有限公司（擁有人）</w:t>
              <w:br/>
              <w:t>宏鍵有限公司（如此聘用的人）</w:t>
              <w:br/>
              <w:t>控股：信和集團 x 港鐵物業（西鐵物業發展）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地址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康城路1號，日出康城，香港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網站用途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樓盤宣傳 Landing Page（收集客戶關注 + 提供銷售資料）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開發環境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https://lp13.hlhk.net/（Phase 1）</w:t>
              <w:br/>
              <w:t>https://lp13.hlhk.net/LM2（Phase 2）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Basic Auth（Dev）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Username: dev  |  Password: hostdev</w:t>
            </w:r>
          </w:p>
        </w:tc>
      </w:tr>
    </w:tbl>
    <w:p/>
    <w:p>
      <w:pPr>
        <w:pStyle w:val="Heading1"/>
      </w:pPr>
      <w:r>
        <w:rPr>
          <w:color w:val="886728"/>
        </w:rPr>
        <w:t>2. 網站架構</w:t>
      </w:r>
    </w:p>
    <w:p>
      <w:pPr>
        <w:pStyle w:val="Heading2"/>
      </w:pPr>
      <w:r>
        <w:t>2.1 Phase 1 — https://lp13.hlhk.net/</w:t>
      </w:r>
    </w:p>
    <w:p>
      <w:r>
        <w:rPr>
          <w:b w:val="0"/>
          <w:sz w:val="22"/>
        </w:rPr>
        <w:t>類型：單頁 Landing Page（樓盤銷售資料展示）</w:t>
      </w:r>
    </w:p>
    <w:p>
      <w:r>
        <w:rPr>
          <w:b w:val="0"/>
          <w:sz w:val="22"/>
        </w:rPr>
        <w:t>語言版本：</w:t>
      </w:r>
    </w:p>
    <w:p>
      <w:pPr>
        <w:pStyle w:val="ListBullet"/>
      </w:pPr>
      <w:r>
        <w:rPr>
          <w:sz w:val="22"/>
        </w:rPr>
        <w:t>繁體中文 → /（預設）</w:t>
      </w:r>
    </w:p>
    <w:p>
      <w:pPr>
        <w:pStyle w:val="ListBullet"/>
      </w:pPr>
      <w:r>
        <w:rPr>
          <w:sz w:val="22"/>
        </w:rPr>
        <w:t>簡體中文 → /sc</w:t>
      </w:r>
    </w:p>
    <w:p>
      <w:pPr>
        <w:pStyle w:val="ListBullet"/>
      </w:pPr>
      <w:r>
        <w:rPr>
          <w:sz w:val="22"/>
        </w:rPr>
        <w:t>英文 → /en</w:t>
      </w:r>
    </w:p>
    <w:p>
      <w:r>
        <w:rPr>
          <w:b w:val="0"/>
          <w:sz w:val="22"/>
        </w:rPr>
        <w:t>頁面 Sections：</w:t>
      </w:r>
    </w:p>
    <w:p>
      <w:pPr>
        <w:pStyle w:val="ListBullet"/>
      </w:pPr>
      <w:r>
        <w:rPr>
          <w:sz w:val="22"/>
        </w:rPr>
        <w:t>Mandatory Disclaimer 強制免責聲明彈窗（進入前必須確認）</w:t>
      </w:r>
    </w:p>
    <w:p>
      <w:pPr>
        <w:pStyle w:val="ListBullet"/>
      </w:pPr>
      <w:r>
        <w:rPr>
          <w:sz w:val="22"/>
        </w:rPr>
        <w:t>Hero Section（背景影片 + 品牌標題）</w:t>
      </w:r>
    </w:p>
    <w:p>
      <w:pPr>
        <w:pStyle w:val="ListBullet"/>
      </w:pPr>
      <w:r>
        <w:rPr>
          <w:sz w:val="22"/>
        </w:rPr>
        <w:t>銷售資料導航（8項文件連結）</w:t>
      </w:r>
    </w:p>
    <w:p>
      <w:r>
        <w:rPr>
          <w:b w:val="0"/>
          <w:sz w:val="22"/>
        </w:rPr>
        <w:t>銷售資料頁面（8項）：</w:t>
      </w:r>
    </w:p>
    <w:p>
      <w:pPr>
        <w:pStyle w:val="ListBullet"/>
      </w:pPr>
      <w:r>
        <w:rPr>
          <w:sz w:val="22"/>
        </w:rPr>
        <w:t>售樓說明書</w:t>
      </w:r>
    </w:p>
    <w:p>
      <w:pPr>
        <w:pStyle w:val="ListBullet"/>
      </w:pPr>
      <w:r>
        <w:rPr>
          <w:sz w:val="22"/>
        </w:rPr>
        <w:t>價單</w:t>
      </w:r>
    </w:p>
    <w:p>
      <w:pPr>
        <w:pStyle w:val="ListBullet"/>
      </w:pPr>
      <w:r>
        <w:rPr>
          <w:sz w:val="22"/>
        </w:rPr>
        <w:t>銷售安排</w:t>
      </w:r>
    </w:p>
    <w:p>
      <w:pPr>
        <w:pStyle w:val="ListBullet"/>
      </w:pPr>
      <w:r>
        <w:rPr>
          <w:sz w:val="22"/>
        </w:rPr>
        <w:t>抽籤結果</w:t>
      </w:r>
    </w:p>
    <w:p>
      <w:pPr>
        <w:pStyle w:val="ListBullet"/>
      </w:pPr>
      <w:r>
        <w:rPr>
          <w:sz w:val="22"/>
        </w:rPr>
        <w:t>成交紀錄冊</w:t>
      </w:r>
    </w:p>
    <w:p>
      <w:pPr>
        <w:pStyle w:val="ListBullet"/>
      </w:pPr>
      <w:r>
        <w:rPr>
          <w:sz w:val="22"/>
        </w:rPr>
        <w:t>公契</w:t>
      </w:r>
    </w:p>
    <w:p>
      <w:pPr>
        <w:pStyle w:val="ListBullet"/>
      </w:pPr>
      <w:r>
        <w:rPr>
          <w:sz w:val="22"/>
        </w:rPr>
        <w:t>鳥瞰照片</w:t>
      </w:r>
    </w:p>
    <w:p>
      <w:pPr>
        <w:pStyle w:val="ListBullet"/>
      </w:pPr>
      <w:r>
        <w:rPr>
          <w:sz w:val="22"/>
        </w:rPr>
        <w:t>招標文件</w:t>
      </w:r>
    </w:p>
    <w:p/>
    <w:p>
      <w:pPr>
        <w:pStyle w:val="Heading2"/>
      </w:pPr>
      <w:r>
        <w:t>2.2 Phase 2 — https://lp13.hlhk.net/LM2</w:t>
      </w:r>
    </w:p>
    <w:p>
      <w:r>
        <w:rPr>
          <w:b w:val="0"/>
          <w:sz w:val="22"/>
        </w:rPr>
        <w:t>類型：Teaser Landing Page（海瑅灣 II 期預告宣傳）</w:t>
      </w:r>
    </w:p>
    <w:p>
      <w:r>
        <w:rPr>
          <w:b w:val="0"/>
          <w:sz w:val="22"/>
        </w:rPr>
        <w:t>語言版本：繁體中文 / 簡體中文 / 英文</w:t>
      </w:r>
    </w:p>
    <w:p>
      <w:r>
        <w:rPr>
          <w:b w:val="0"/>
          <w:sz w:val="22"/>
        </w:rPr>
        <w:t>主要元素：</w:t>
      </w:r>
    </w:p>
    <w:p>
      <w:pPr>
        <w:pStyle w:val="ListBullet"/>
      </w:pPr>
      <w:r>
        <w:rPr>
          <w:sz w:val="22"/>
        </w:rPr>
        <w:t>Mandatory Disclaimer 強制免責聲明彈窗</w:t>
      </w:r>
    </w:p>
    <w:p>
      <w:pPr>
        <w:pStyle w:val="ListBullet"/>
      </w:pPr>
      <w:r>
        <w:rPr>
          <w:sz w:val="22"/>
        </w:rPr>
        <w:t>Hero Section（海景 + 泳池 Rendering 效果圖）</w:t>
      </w:r>
    </w:p>
    <w:p>
      <w:pPr>
        <w:pStyle w:val="ListBullet"/>
      </w:pPr>
      <w:r>
        <w:rPr>
          <w:sz w:val="22"/>
        </w:rPr>
        <w:t>發展商 Logo 展示（港鐵 / 信和 / 嘉里 / 嘉華 / 招商置地）</w:t>
      </w:r>
    </w:p>
    <w:p>
      <w:pPr>
        <w:pStyle w:val="ListBullet"/>
      </w:pPr>
      <w:r>
        <w:rPr>
          <w:sz w:val="22"/>
        </w:rPr>
        <w:t>免責聲明 Widget（右下角固定）</w:t>
      </w:r>
    </w:p>
    <w:p>
      <w:pPr>
        <w:pStyle w:val="ListBullet"/>
      </w:pPr>
      <w:r>
        <w:rPr>
          <w:sz w:val="22"/>
        </w:rPr>
        <w:t>Sales Info 連結（售樓說明書等）</w:t>
      </w:r>
    </w:p>
    <w:p/>
    <w:p>
      <w:pPr>
        <w:pStyle w:val="Heading1"/>
      </w:pPr>
      <w:r>
        <w:rPr>
          <w:color w:val="886728"/>
        </w:rPr>
        <w:t>3. 技術規格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規格</w:t>
            </w:r>
          </w:p>
        </w:tc>
        <w:tc>
          <w:tcPr>
            <w:tcW w:type="dxa" w:w="4703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Nuxt.js (SSR/SSG) + Vue.js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字體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Google Fonts — Noto Sans TC、Noto Sans SC、Noto Serif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品牌色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#886728（金色）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Responsive Breakpoints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Mobile: 390px</w:t>
              <w:br/>
              <w:t>Tablet: 820px</w:t>
              <w:br/>
              <w:t>Desktop: 1920px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影片格式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MP4（橫向版本 + 縱向版本分別提供）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圖片格式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WebP（via Sharp 圖片優化）+ data-srcset (1x/2x)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背景音樂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MP3（Phase 1 專用，/bg_music_2026_2.mp3）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Meta Title / Description 已設置（Phase 1）</w:t>
              <w:br/>
              <w:t>Robots: index, follow, max-image-preview:large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社交媒體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YouTube: @sinoadschannel</w:t>
              <w:br/>
              <w:t>Instagram: lifescapecollections</w:t>
            </w:r>
          </w:p>
        </w:tc>
      </w:tr>
    </w:tbl>
    <w:p/>
    <w:p>
      <w:pPr>
        <w:pStyle w:val="Heading1"/>
      </w:pPr>
      <w:r>
        <w:rPr>
          <w:color w:val="886728"/>
        </w:rPr>
        <w:t>4. 功能說明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Phase 1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Phase 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Mandatory Disclaimer 彈窗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用戶進入網站前必須確認免責聲明，「進入」按鈕後才可瀏覽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語言切換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頁面右上角切換繁/簡/EN，各語言獨立 URL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背景影片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Hero Section 以 MP4 背景影片呈現，橫/縱向分別版本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背景音樂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自動播放背景音樂（/bg_music_2026_2.mp3）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銷售資料連結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導航至 8 項銷售文件頁面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Hero 效果圖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靜態高解像度海景/泳池 Rendering 圖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發展商 Logo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展示 5 個合作發展商 Logo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免責聲明 Widget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右下角固定顯示免責聲明連結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社交媒體連結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YouTube &amp; Instagram 連結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Responsive 設計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Mobile / Tablet / Desktop 自動適配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pStyle w:val="Heading1"/>
      </w:pPr>
      <w:r>
        <w:rPr>
          <w:color w:val="886728"/>
        </w:rPr>
        <w:t>5. QA 測試報告</w:t>
      </w:r>
    </w:p>
    <w:p>
      <w:r>
        <w:rPr>
          <w:b w:val="0"/>
          <w:sz w:val="22"/>
        </w:rPr>
        <w:t>測試日期：2026年3月11日　|　測試環境：Dev Server</w:t>
      </w:r>
    </w:p>
    <w:p>
      <w:pPr>
        <w:pStyle w:val="Heading2"/>
      </w:pPr>
      <w:r>
        <w:t>5.1 Phase 1 QA 結果（評分：8/10）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測試項目</w:t>
            </w:r>
          </w:p>
        </w:tc>
        <w:tc>
          <w:tcPr>
            <w:tcW w:type="dxa" w:w="3135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3135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頁面載入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響應速度 ~93ms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Mandatory Disclaimer 彈窗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正常顯示及運作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Desktop 排版 (1920px)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視覺正常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Mobile 排版 (390px)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Hamburger menu 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Tablet 排版 (820px)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佈局適應良好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語言切換（繁/簡/EN）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三版本均正常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銷售資料連結（8項）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全部 HTTP 200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背景音樂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/bg_music_2026_2.mp3 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背景影片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MP4 橫/縱向版本正常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Meta Title &amp;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已正確設置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社交媒體連結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YouTube &amp; Instagram 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無 Placeholder 文字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無 Lorem Ipsum 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OG Tags (og:title/description/image)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❌ 失敗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完全缺失，影響社交分享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檔名拼字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警告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"Landind" 應為 "Landing"，出現 4 次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Canonical URL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警告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未設置，三語版本有 SEO 重複內容風險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登記/查詢表單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提示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目前無表單，如需收客需另行設計</w:t>
            </w:r>
          </w:p>
        </w:tc>
      </w:tr>
    </w:tbl>
    <w:p/>
    <w:p>
      <w:pPr>
        <w:pStyle w:val="Heading2"/>
      </w:pPr>
      <w:r>
        <w:t>5.2 Phase 2 QA 結果（評分：7/10）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測試項目</w:t>
            </w:r>
          </w:p>
        </w:tc>
        <w:tc>
          <w:tcPr>
            <w:tcW w:type="dxa" w:w="3135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3135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頁面載入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正常載入，圖片清晰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Hero Section 效果圖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泳池 + 海景 Rendering 良好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Desktop 排版 (1920px)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視覺正常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Mobile 排版 (390px)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排版正確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Tablet 排版 (820px)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佈局正確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圖片載入（11張）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無 broken images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語言切換（繁/簡/EN）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三版本均正常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發展商 Logo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5個 Logo 均清晰顯示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法律文字 Disclaimer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完整齊全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 Console Errors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通過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無錯誤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Browser Tab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❌ 失敗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顯示「海瑅灣 I」，應為「海瑅灣 II」（三語均錯）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❌ 失敗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使用 Phase 1 描述，需更新為 Phase 2 專用文字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OG Tags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警告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og:title/og:description 空白，影響社交分享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免責聲明按鈕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警告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overlay 遮擋問題（z-index/pointer-events）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頁面載入速度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警告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4.8 秒偏慢，建議圖片優化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Permissions-Policy header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警告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web-share feature 不被識別（非嚴重）</w:t>
            </w:r>
          </w:p>
        </w:tc>
      </w:tr>
    </w:tbl>
    <w:p/>
    <w:p>
      <w:pPr>
        <w:pStyle w:val="Heading1"/>
      </w:pPr>
      <w:r>
        <w:rPr>
          <w:color w:val="886728"/>
        </w:rPr>
        <w:t>6. 待修復問題清單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問題描述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建議修復方法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❌ 高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Browser Tab Title 錯誤</w:t>
              <w:br/>
              <w:t>三語版本均顯示「海瑅灣 I」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更新 nuxt.config 或各語言版本的 &lt;title&gt; 為「LA MIRABELLE 海瑅灣 II」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❌ 高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Meta Description 錯誤</w:t>
              <w:br/>
              <w:t>三語版本使用 Phase 1 描述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更新各語言版本 meta description 為 Phase 2 專用文字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❌ 高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OG Tags 完全缺失</w:t>
              <w:br/>
              <w:t>og:title/description/image 均未設置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 nuxt.config useHead 加入 og:title、og:description、og:image（建議用效果圖）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⚠️ 中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OG Tags 未設定</w:t>
              <w:br/>
              <w:t>og:title/description 空白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同 Phase 1，加入 OG Tags 配置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⚠️ 中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免責聲明按鈕被 overlay 遮擋</w:t>
              <w:br/>
              <w:t>z-index/pointer-events 問題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檢查相關 CSS，確保按鈕 z-index 高於 overlay 層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⚠️ 中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檔名拼字錯誤</w:t>
              <w:br/>
              <w:t>「Landind」應為「Landing」（4處）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重命名檔案並更新代碼中的引用路徑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⚠️ 低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Canonical URL 未設置</w:t>
              <w:br/>
              <w:t>三語版本 SEO 重複內容風險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 head 加入 canonical URL 指向繁體版本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⚠️ 低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頁面載入速度 4.8 秒偏慢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壓縮 Hero 圖片、啟用 lazy loading、考慮 CDN</w:t>
            </w:r>
          </w:p>
        </w:tc>
      </w:tr>
    </w:tbl>
    <w:p/>
    <w:p>
      <w:pPr>
        <w:pStyle w:val="Heading1"/>
      </w:pPr>
      <w:r>
        <w:rPr>
          <w:color w:val="886728"/>
        </w:rPr>
        <w:t>7. 更新記錄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更新內容</w:t>
            </w:r>
          </w:p>
        </w:tc>
        <w:tc>
          <w:tcPr>
            <w:tcW w:type="dxa" w:w="2351"/>
            <w:shd w:val="clear" w:color="auto" w:fill="886728"/>
          </w:tcPr>
          <w:p>
            <w:r>
              <w:rPr>
                <w:b/>
                <w:color w:val="FFFFFF"/>
                <w:sz w:val="20"/>
              </w:rPr>
              <w:t>負責人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2026-03-11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初版建立，根據 Phase 1 &amp; Phase 2 QA 測試結果整理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A2 (AI QA Orchestrator)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