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Area2 (HK) Limited</w:t>
      </w:r>
    </w:p>
    <w:p>
      <w:r>
        <w:br/>
        <w:br/>
        <w:br/>
        <w:br/>
        <w:br/>
        <w:br/>
        <w:br/>
        <w:br/>
      </w:r>
    </w:p>
    <w:p>
      <w:pPr>
        <w:pStyle w:val="Title"/>
      </w:pPr>
      <w:r>
        <w:rPr>
          <w:rFonts w:ascii="Noto Serif CJK TC" w:hAnsi="Noto Serif CJK TC"/>
          <w:b/>
          <w:color w:val="0D1117"/>
          <w:sz w:val="72"/>
        </w:rPr>
        <w:t>Green Tea</w:t>
      </w:r>
    </w:p>
    <w:p>
      <w:pPr>
        <w:pStyle w:val="Heading2"/>
      </w:pPr>
      <w:r>
        <w:rPr>
          <w:rFonts w:ascii="Noto Serif CJK TC" w:hAnsi="Noto Serif CJK TC"/>
          <w:b/>
          <w:color w:val="00B4D8"/>
          <w:sz w:val="48"/>
        </w:rPr>
        <w:t>SEM 成效報告</w:t>
      </w:r>
    </w:p>
    <w:p>
      <w:r>
        <w:br/>
        <w:br/>
        <w:br/>
        <w:br/>
        <w:br/>
        <w:br/>
        <w:br/>
        <w:br/>
        <w:br/>
        <w:br/>
      </w:r>
    </w:p>
    <w:p>
      <w:r>
        <w:rPr>
          <w:b/>
        </w:rPr>
        <w:t>分析期間：2026年1月22日 — 2026年2月22日</w:t>
        <w:br/>
      </w:r>
      <w:r>
        <w:t>廣告平台：Google Ads</w:t>
        <w:br/>
      </w:r>
      <w:r>
        <w:t>報告日期：2026年3月12日</w:t>
      </w:r>
    </w:p>
    <w:p>
      <w:r>
        <w:rPr>
          <w:color w:val="00B4D8"/>
          <w:sz w:val="48"/>
        </w:rPr>
        <w:t>________________________________________</w:t>
      </w:r>
    </w:p>
    <w:p>
      <w:r>
        <w:br w:type="page"/>
      </w:r>
    </w:p>
    <w:p>
      <w:pPr>
        <w:pStyle w:val="Heading1"/>
      </w:pPr>
      <w:r>
        <w:rPr>
          <w:color w:val="0D1117"/>
        </w:rPr>
        <w:t>1. 管理層摘要</w:t>
      </w:r>
    </w:p>
    <w:p>
      <w:r>
        <w:t>在分析期間內，Green Tea Google Ads 廣告系列共產生 907 次點擊，廣告費用 HK$1,427.31，香港市場實現 24 次轉換，CPA 僅 HK$46.11，低於行業基準。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D1117"/>
          </w:tcPr>
          <w:p>
            <w:r>
              <w:rPr>
                <w:b/>
                <w:color w:val="FFFFFF"/>
              </w:rPr>
              <w:t>指標 Metric</w:t>
            </w:r>
          </w:p>
        </w:tc>
        <w:tc>
          <w:tcPr>
            <w:tcW w:type="dxa" w:w="4320"/>
            <w:shd w:val="clear" w:color="auto" w:fill="0D1117"/>
          </w:tcPr>
          <w:p>
            <w:r>
              <w:rPr>
                <w:b/>
                <w:color w:val="FFFFFF"/>
              </w:rPr>
              <w:t>數值 Value</w:t>
            </w:r>
          </w:p>
        </w:tc>
      </w:tr>
      <w:tr>
        <w:tc>
          <w:tcPr>
            <w:tcW w:type="dxa" w:w="4320"/>
            <w:shd w:val="clear" w:color="auto" w:fill="E8F8FC"/>
          </w:tcPr>
          <w:p>
            <w:r>
              <w:t>總展示次數</w:t>
            </w:r>
          </w:p>
        </w:tc>
        <w:tc>
          <w:tcPr>
            <w:tcW w:type="dxa" w:w="4320"/>
            <w:shd w:val="clear" w:color="auto" w:fill="E8F8FC"/>
          </w:tcPr>
          <w:p>
            <w:r>
              <w:t>42,405</w:t>
            </w:r>
          </w:p>
        </w:tc>
      </w:tr>
      <w:tr>
        <w:tc>
          <w:tcPr>
            <w:tcW w:type="dxa" w:w="4320"/>
            <w:shd w:val="clear" w:color="auto" w:fill="E8F8FC"/>
          </w:tcPr>
          <w:p>
            <w:r>
              <w:t>總點擊次數</w:t>
            </w:r>
          </w:p>
        </w:tc>
        <w:tc>
          <w:tcPr>
            <w:tcW w:type="dxa" w:w="4320"/>
            <w:shd w:val="clear" w:color="auto" w:fill="E8F8FC"/>
          </w:tcPr>
          <w:p>
            <w:r>
              <w:t>907</w:t>
            </w:r>
          </w:p>
        </w:tc>
      </w:tr>
      <w:tr>
        <w:tc>
          <w:tcPr>
            <w:tcW w:type="dxa" w:w="4320"/>
            <w:shd w:val="clear" w:color="auto" w:fill="E8F8FC"/>
          </w:tcPr>
          <w:p>
            <w:r>
              <w:t>整體 CTR</w:t>
            </w:r>
          </w:p>
        </w:tc>
        <w:tc>
          <w:tcPr>
            <w:tcW w:type="dxa" w:w="4320"/>
            <w:shd w:val="clear" w:color="auto" w:fill="E8F8FC"/>
          </w:tcPr>
          <w:p>
            <w:r>
              <w:t>2.14%</w:t>
            </w:r>
          </w:p>
        </w:tc>
      </w:tr>
      <w:tr>
        <w:tc>
          <w:tcPr>
            <w:tcW w:type="dxa" w:w="4320"/>
            <w:shd w:val="clear" w:color="auto" w:fill="E8F8FC"/>
          </w:tcPr>
          <w:p>
            <w:r>
              <w:t>平均 CPC</w:t>
            </w:r>
          </w:p>
        </w:tc>
        <w:tc>
          <w:tcPr>
            <w:tcW w:type="dxa" w:w="4320"/>
            <w:shd w:val="clear" w:color="auto" w:fill="E8F8FC"/>
          </w:tcPr>
          <w:p>
            <w:r>
              <w:t>HK$1.57</w:t>
            </w:r>
          </w:p>
        </w:tc>
      </w:tr>
      <w:tr>
        <w:tc>
          <w:tcPr>
            <w:tcW w:type="dxa" w:w="4320"/>
            <w:shd w:val="clear" w:color="auto" w:fill="E8F8FC"/>
          </w:tcPr>
          <w:p>
            <w:r>
              <w:t>總廣告費用</w:t>
            </w:r>
          </w:p>
        </w:tc>
        <w:tc>
          <w:tcPr>
            <w:tcW w:type="dxa" w:w="4320"/>
            <w:shd w:val="clear" w:color="auto" w:fill="E8F8FC"/>
          </w:tcPr>
          <w:p>
            <w:r>
              <w:t>HK$1,427.31</w:t>
            </w:r>
          </w:p>
        </w:tc>
      </w:tr>
      <w:tr>
        <w:tc>
          <w:tcPr>
            <w:tcW w:type="dxa" w:w="4320"/>
            <w:shd w:val="clear" w:color="auto" w:fill="E8F8FC"/>
          </w:tcPr>
          <w:p>
            <w:r>
              <w:t>總轉換次數</w:t>
            </w:r>
          </w:p>
        </w:tc>
        <w:tc>
          <w:tcPr>
            <w:tcW w:type="dxa" w:w="4320"/>
            <w:shd w:val="clear" w:color="auto" w:fill="E8F8FC"/>
          </w:tcPr>
          <w:p>
            <w:r>
              <w:t>24</w:t>
            </w:r>
          </w:p>
        </w:tc>
      </w:tr>
      <w:tr>
        <w:tc>
          <w:tcPr>
            <w:tcW w:type="dxa" w:w="4320"/>
            <w:shd w:val="clear" w:color="auto" w:fill="E8F8FC"/>
          </w:tcPr>
          <w:p>
            <w:r>
              <w:t>整體轉換率</w:t>
            </w:r>
          </w:p>
        </w:tc>
        <w:tc>
          <w:tcPr>
            <w:tcW w:type="dxa" w:w="4320"/>
            <w:shd w:val="clear" w:color="auto" w:fill="E8F8FC"/>
          </w:tcPr>
          <w:p>
            <w:r>
              <w:t>2.65%</w:t>
            </w:r>
          </w:p>
        </w:tc>
      </w:tr>
      <w:tr>
        <w:tc>
          <w:tcPr>
            <w:tcW w:type="dxa" w:w="4320"/>
            <w:shd w:val="clear" w:color="auto" w:fill="E8F8FC"/>
          </w:tcPr>
          <w:p>
            <w:r>
              <w:t>整體 CPA</w:t>
            </w:r>
          </w:p>
        </w:tc>
        <w:tc>
          <w:tcPr>
            <w:tcW w:type="dxa" w:w="4320"/>
            <w:shd w:val="clear" w:color="auto" w:fill="E8F8FC"/>
          </w:tcPr>
          <w:p>
            <w:r>
              <w:t>HK$59.47</w:t>
            </w:r>
          </w:p>
        </w:tc>
      </w:tr>
    </w:tbl>
    <w:p/>
    <w:p>
      <w:r>
        <w:rPr>
          <w:b/>
        </w:rPr>
        <w:t>主要發現：</w:t>
      </w:r>
    </w:p>
    <w:p>
      <w:r>
        <w:t>1. 香港市場廣告成效優良，CPA HK$46.11 低於業界基準</w:t>
      </w:r>
    </w:p>
    <w:p>
      <w:r>
        <w:t>2. 農曆新年期間流量按季節性下降 37%，節後迅速恢復</w:t>
      </w:r>
    </w:p>
    <w:p>
      <w:r>
        <w:t>3. 日本市場廣告點擊率（CTR 3.05%）表現突出，受眾反應積極</w:t>
      </w:r>
    </w:p>
    <w:p>
      <w:r>
        <w:br w:type="page"/>
      </w:r>
    </w:p>
    <w:p>
      <w:pPr>
        <w:pStyle w:val="Heading1"/>
      </w:pPr>
      <w:r>
        <w:rPr>
          <w:color w:val="0D1117"/>
        </w:rPr>
        <w:t>2. 廣告系列表現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指標</w:t>
            </w:r>
          </w:p>
        </w:tc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Green Tea - HK</w:t>
            </w:r>
          </w:p>
        </w:tc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Green Tea - JP</w:t>
            </w:r>
          </w:p>
        </w:tc>
      </w:tr>
      <w:tr>
        <w:tc>
          <w:tcPr>
            <w:tcW w:type="dxa" w:w="2880"/>
            <w:shd w:val="clear" w:color="auto" w:fill="E8F8FC"/>
          </w:tcPr>
          <w:p>
            <w:r>
              <w:t>展示次數</w:t>
            </w:r>
          </w:p>
        </w:tc>
        <w:tc>
          <w:tcPr>
            <w:tcW w:type="dxa" w:w="2880"/>
          </w:tcPr>
          <w:p>
            <w:r>
              <w:t>32,978</w:t>
            </w:r>
          </w:p>
        </w:tc>
        <w:tc>
          <w:tcPr>
            <w:tcW w:type="dxa" w:w="2880"/>
          </w:tcPr>
          <w:p>
            <w:r>
              <w:t>9,409</w:t>
            </w:r>
          </w:p>
        </w:tc>
      </w:tr>
      <w:tr>
        <w:tc>
          <w:tcPr>
            <w:tcW w:type="dxa" w:w="2880"/>
            <w:shd w:val="clear" w:color="auto" w:fill="E8F8FC"/>
          </w:tcPr>
          <w:p>
            <w:r>
              <w:t>點擊次數</w:t>
            </w:r>
          </w:p>
        </w:tc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287</w:t>
            </w:r>
          </w:p>
        </w:tc>
      </w:tr>
      <w:tr>
        <w:tc>
          <w:tcPr>
            <w:tcW w:type="dxa" w:w="2880"/>
            <w:shd w:val="clear" w:color="auto" w:fill="E8F8FC"/>
          </w:tcPr>
          <w:p>
            <w:r>
              <w:t>CTR</w:t>
            </w:r>
          </w:p>
        </w:tc>
        <w:tc>
          <w:tcPr>
            <w:tcW w:type="dxa" w:w="2880"/>
          </w:tcPr>
          <w:p>
            <w:r>
              <w:t>1.88%</w:t>
            </w:r>
          </w:p>
        </w:tc>
        <w:tc>
          <w:tcPr>
            <w:tcW w:type="dxa" w:w="2880"/>
          </w:tcPr>
          <w:p>
            <w:r>
              <w:t>3.05%</w:t>
            </w:r>
          </w:p>
        </w:tc>
      </w:tr>
      <w:tr>
        <w:tc>
          <w:tcPr>
            <w:tcW w:type="dxa" w:w="2880"/>
            <w:shd w:val="clear" w:color="auto" w:fill="E8F8FC"/>
          </w:tcPr>
          <w:p>
            <w:r>
              <w:t>平均 CPC</w:t>
            </w:r>
          </w:p>
        </w:tc>
        <w:tc>
          <w:tcPr>
            <w:tcW w:type="dxa" w:w="2880"/>
          </w:tcPr>
          <w:p>
            <w:r>
              <w:t>HK$1.78</w:t>
            </w:r>
          </w:p>
        </w:tc>
        <w:tc>
          <w:tcPr>
            <w:tcW w:type="dxa" w:w="2880"/>
          </w:tcPr>
          <w:p>
            <w:r>
              <w:t>HK$1.12</w:t>
            </w:r>
          </w:p>
        </w:tc>
      </w:tr>
      <w:tr>
        <w:tc>
          <w:tcPr>
            <w:tcW w:type="dxa" w:w="2880"/>
            <w:shd w:val="clear" w:color="auto" w:fill="E8F8FC"/>
          </w:tcPr>
          <w:p>
            <w:r>
              <w:t>廣告費用</w:t>
            </w:r>
          </w:p>
        </w:tc>
        <w:tc>
          <w:tcPr>
            <w:tcW w:type="dxa" w:w="2880"/>
          </w:tcPr>
          <w:p>
            <w:r>
              <w:t>HK$1,106.63</w:t>
            </w:r>
          </w:p>
        </w:tc>
        <w:tc>
          <w:tcPr>
            <w:tcW w:type="dxa" w:w="2880"/>
          </w:tcPr>
          <w:p>
            <w:r>
              <w:t>HK$320.68</w:t>
            </w:r>
          </w:p>
        </w:tc>
      </w:tr>
      <w:tr>
        <w:tc>
          <w:tcPr>
            <w:tcW w:type="dxa" w:w="2880"/>
            <w:shd w:val="clear" w:color="auto" w:fill="E8F8FC"/>
          </w:tcPr>
          <w:p>
            <w:r>
              <w:t>預算佔比</w:t>
            </w:r>
          </w:p>
        </w:tc>
        <w:tc>
          <w:tcPr>
            <w:tcW w:type="dxa" w:w="2880"/>
          </w:tcPr>
          <w:p>
            <w:r>
              <w:t>78%</w:t>
            </w:r>
          </w:p>
        </w:tc>
        <w:tc>
          <w:tcPr>
            <w:tcW w:type="dxa" w:w="2880"/>
          </w:tcPr>
          <w:p>
            <w:r>
              <w:t>22%</w:t>
            </w:r>
          </w:p>
        </w:tc>
      </w:tr>
      <w:tr>
        <w:tc>
          <w:tcPr>
            <w:tcW w:type="dxa" w:w="2880"/>
            <w:shd w:val="clear" w:color="auto" w:fill="E8F8FC"/>
          </w:tcPr>
          <w:p>
            <w:r>
              <w:t>轉換次數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  <w:shd w:val="clear" w:color="auto" w:fill="E8F8FC"/>
          </w:tcPr>
          <w:p>
            <w:r>
              <w:t>轉換率</w:t>
            </w:r>
          </w:p>
        </w:tc>
        <w:tc>
          <w:tcPr>
            <w:tcW w:type="dxa" w:w="2880"/>
          </w:tcPr>
          <w:p>
            <w:r>
              <w:t>3.87%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  <w:shd w:val="clear" w:color="auto" w:fill="E8F8FC"/>
          </w:tcPr>
          <w:p>
            <w:r>
              <w:t>CPA</w:t>
            </w:r>
          </w:p>
        </w:tc>
        <w:tc>
          <w:tcPr>
            <w:tcW w:type="dxa" w:w="2880"/>
          </w:tcPr>
          <w:p>
            <w:r>
              <w:t>HK$46.11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r>
        <w:t>廣告費用共 HK$1,427.31，其中 Green Tea - HK 佔 78%（HK$1,106.63），Green Tea - JP 佔 22%（HK$320.68）。香港市場為主要投資重點，並成功錄得 24 次轉換。</w:t>
      </w:r>
    </w:p>
    <w:p>
      <w:r>
        <w:br w:type="page"/>
      </w:r>
    </w:p>
    <w:p>
      <w:pPr>
        <w:pStyle w:val="Heading1"/>
      </w:pPr>
      <w:r>
        <w:rPr>
          <w:color w:val="0D1117"/>
        </w:rPr>
        <w:t>3. 每日趨勢分析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1117"/>
          </w:tcPr>
          <w:p>
            <w:r>
              <w:rPr>
                <w:color w:val="FFFFFF"/>
              </w:rPr>
              <w:t>時期</w:t>
            </w:r>
          </w:p>
        </w:tc>
        <w:tc>
          <w:tcPr>
            <w:tcW w:type="dxa" w:w="1728"/>
            <w:shd w:val="clear" w:color="auto" w:fill="0D1117"/>
          </w:tcPr>
          <w:p>
            <w:r>
              <w:rPr>
                <w:color w:val="FFFFFF"/>
              </w:rPr>
              <w:t>日期</w:t>
            </w:r>
          </w:p>
        </w:tc>
        <w:tc>
          <w:tcPr>
            <w:tcW w:type="dxa" w:w="1728"/>
            <w:shd w:val="clear" w:color="auto" w:fill="0D1117"/>
          </w:tcPr>
          <w:p>
            <w:r>
              <w:rPr>
                <w:color w:val="FFFFFF"/>
              </w:rPr>
              <w:t>平均點擊/天</w:t>
            </w:r>
          </w:p>
        </w:tc>
        <w:tc>
          <w:tcPr>
            <w:tcW w:type="dxa" w:w="1728"/>
            <w:shd w:val="clear" w:color="auto" w:fill="0D1117"/>
          </w:tcPr>
          <w:p>
            <w:r>
              <w:rPr>
                <w:color w:val="FFFFFF"/>
              </w:rPr>
              <w:t>平均費用/天</w:t>
            </w:r>
          </w:p>
        </w:tc>
        <w:tc>
          <w:tcPr>
            <w:tcW w:type="dxa" w:w="1728"/>
            <w:shd w:val="clear" w:color="auto" w:fill="0D1117"/>
          </w:tcPr>
          <w:p>
            <w:r>
              <w:rPr>
                <w:color w:val="FFFFFF"/>
              </w:rPr>
              <w:t>變化</w:t>
            </w:r>
          </w:p>
        </w:tc>
      </w:tr>
      <w:tr>
        <w:tc>
          <w:tcPr>
            <w:tcW w:type="dxa" w:w="1728"/>
            <w:shd w:val="clear" w:color="auto" w:fill="E8F8FC"/>
          </w:tcPr>
          <w:p>
            <w:r>
              <w:t>Pre-CNY</w:t>
            </w:r>
          </w:p>
        </w:tc>
        <w:tc>
          <w:tcPr>
            <w:tcW w:type="dxa" w:w="1728"/>
            <w:shd w:val="clear" w:color="auto" w:fill="E8F8FC"/>
          </w:tcPr>
          <w:p>
            <w:r>
              <w:t>Jan 22 - Jan 28</w:t>
            </w:r>
          </w:p>
        </w:tc>
        <w:tc>
          <w:tcPr>
            <w:tcW w:type="dxa" w:w="1728"/>
            <w:shd w:val="clear" w:color="auto" w:fill="E8F8FC"/>
          </w:tcPr>
          <w:p>
            <w:r>
              <w:t>33.6</w:t>
            </w:r>
          </w:p>
        </w:tc>
        <w:tc>
          <w:tcPr>
            <w:tcW w:type="dxa" w:w="1728"/>
            <w:shd w:val="clear" w:color="auto" w:fill="E8F8FC"/>
          </w:tcPr>
          <w:p>
            <w:r>
              <w:t>HK$1.7</w:t>
            </w:r>
          </w:p>
        </w:tc>
        <w:tc>
          <w:tcPr>
            <w:tcW w:type="dxa" w:w="1728"/>
            <w:shd w:val="clear" w:color="auto" w:fill="E8F8FC"/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E8F8FC"/>
          </w:tcPr>
          <w:p>
            <w:r>
              <w:t>CNY Period</w:t>
            </w:r>
          </w:p>
        </w:tc>
        <w:tc>
          <w:tcPr>
            <w:tcW w:type="dxa" w:w="1728"/>
            <w:shd w:val="clear" w:color="auto" w:fill="E8F8FC"/>
          </w:tcPr>
          <w:p>
            <w:r>
              <w:t>Jan 29 - Feb 11</w:t>
            </w:r>
          </w:p>
        </w:tc>
        <w:tc>
          <w:tcPr>
            <w:tcW w:type="dxa" w:w="1728"/>
            <w:shd w:val="clear" w:color="auto" w:fill="E8F8FC"/>
          </w:tcPr>
          <w:p>
            <w:r>
              <w:t>23.4</w:t>
            </w:r>
          </w:p>
        </w:tc>
        <w:tc>
          <w:tcPr>
            <w:tcW w:type="dxa" w:w="1728"/>
            <w:shd w:val="clear" w:color="auto" w:fill="E8F8FC"/>
          </w:tcPr>
          <w:p>
            <w:r>
              <w:t>HK$3.3</w:t>
            </w:r>
          </w:p>
        </w:tc>
        <w:tc>
          <w:tcPr>
            <w:tcW w:type="dxa" w:w="1728"/>
            <w:shd w:val="clear" w:color="auto" w:fill="E8F8FC"/>
          </w:tcPr>
          <w:p>
            <w:r>
              <w:t>-37%</w:t>
            </w:r>
          </w:p>
        </w:tc>
      </w:tr>
      <w:tr>
        <w:tc>
          <w:tcPr>
            <w:tcW w:type="dxa" w:w="1728"/>
            <w:shd w:val="clear" w:color="auto" w:fill="E8F8FC"/>
          </w:tcPr>
          <w:p>
            <w:r>
              <w:t>Post-CNY</w:t>
            </w:r>
          </w:p>
        </w:tc>
        <w:tc>
          <w:tcPr>
            <w:tcW w:type="dxa" w:w="1728"/>
            <w:shd w:val="clear" w:color="auto" w:fill="E8F8FC"/>
          </w:tcPr>
          <w:p>
            <w:r>
              <w:t>Feb 12 - Feb 22</w:t>
            </w:r>
          </w:p>
        </w:tc>
        <w:tc>
          <w:tcPr>
            <w:tcW w:type="dxa" w:w="1728"/>
            <w:shd w:val="clear" w:color="auto" w:fill="E8F8FC"/>
          </w:tcPr>
          <w:p>
            <w:r>
              <w:t>31.4</w:t>
            </w:r>
          </w:p>
        </w:tc>
        <w:tc>
          <w:tcPr>
            <w:tcW w:type="dxa" w:w="1728"/>
            <w:shd w:val="clear" w:color="auto" w:fill="E8F8FC"/>
          </w:tcPr>
          <w:p>
            <w:r>
              <w:t>HK$1.5</w:t>
            </w:r>
          </w:p>
        </w:tc>
        <w:tc>
          <w:tcPr>
            <w:tcW w:type="dxa" w:w="1728"/>
            <w:shd w:val="clear" w:color="auto" w:fill="E8F8FC"/>
          </w:tcPr>
          <w:p>
            <w:r>
              <w:t>Rebound</w:t>
            </w:r>
          </w:p>
        </w:tc>
      </w:tr>
    </w:tbl>
    <w:p/>
    <w:p>
      <w:pPr>
        <w:pStyle w:val="Heading2"/>
      </w:pPr>
      <w:r>
        <w:t>關鍵日期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日期</w:t>
            </w:r>
          </w:p>
        </w:tc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事件</w:t>
            </w:r>
          </w:p>
        </w:tc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數據</w:t>
            </w:r>
          </w:p>
        </w:tc>
      </w:tr>
      <w:tr>
        <w:tc>
          <w:tcPr>
            <w:tcW w:type="dxa" w:w="2880"/>
          </w:tcPr>
          <w:p>
            <w:r>
              <w:t>2月6日（週五）</w:t>
            </w:r>
          </w:p>
        </w:tc>
        <w:tc>
          <w:tcPr>
            <w:tcW w:type="dxa" w:w="2880"/>
          </w:tcPr>
          <w:p>
            <w:r>
              <w:t>最高點擊日</w:t>
            </w:r>
          </w:p>
        </w:tc>
        <w:tc>
          <w:tcPr>
            <w:tcW w:type="dxa" w:w="2880"/>
          </w:tcPr>
          <w:p>
            <w:r>
              <w:t>65次點擊</w:t>
            </w:r>
          </w:p>
        </w:tc>
      </w:tr>
      <w:tr>
        <w:tc>
          <w:tcPr>
            <w:tcW w:type="dxa" w:w="2880"/>
          </w:tcPr>
          <w:p>
            <w:r>
              <w:t>2月21日（週六）</w:t>
            </w:r>
          </w:p>
        </w:tc>
        <w:tc>
          <w:tcPr>
            <w:tcW w:type="dxa" w:w="2880"/>
          </w:tcPr>
          <w:p>
            <w:r>
              <w:t>最高展示日</w:t>
            </w:r>
          </w:p>
        </w:tc>
        <w:tc>
          <w:tcPr>
            <w:tcW w:type="dxa" w:w="2880"/>
          </w:tcPr>
          <w:p>
            <w:r>
              <w:t>3,941次展示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>
              <w:rPr>
                <w:b/>
              </w:rPr>
              <w:t>⚠️ 注意：</w:t>
            </w:r>
            <w:r>
              <w:t>2月9日（週一）錄得異常高每次點擊費用 HK$23.27，當日僅有 1 次點擊，遠高於全期平均 HK$1.57。建議向 Google Ads 支援查詢，確認是否涉及無效點擊。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117"/>
        </w:rPr>
        <w:t>4. 廣告位置分析</w:t>
      </w:r>
    </w:p>
    <w:p>
      <w:r>
        <w:t>Green Tea 廣告主要刊登於 YouTube 影片廣告版位（Display/YouTube Network），觸及正在觀看 YouTube 的用戶。</w:t>
      </w:r>
    </w:p>
    <w:p>
      <w:r>
        <w:t>廣告覆蓋兩個主要市場：香港（HK）及日本（JP）。香港地區集中於高轉換潛力受眾，日本地區則獲得較高點擊率。</w:t>
      </w:r>
    </w:p>
    <w:p>
      <w:r>
        <w:t>YouTube 廣告屬於展示型廣告，適合品牌曝光及提升知名度，配合主動搜尋的關鍵字廣告可產生協同效應。</w:t>
      </w:r>
    </w:p>
    <w:p>
      <w:r>
        <w:br w:type="page"/>
      </w:r>
    </w:p>
    <w:p>
      <w:pPr>
        <w:pStyle w:val="Heading1"/>
      </w:pPr>
      <w:r>
        <w:rPr>
          <w:color w:val="0D1117"/>
        </w:rPr>
        <w:t>5. 分析與建議</w:t>
      </w:r>
    </w:p>
    <w:p>
      <w:pPr>
        <w:pStyle w:val="Heading2"/>
      </w:pPr>
      <w:r>
        <w:rPr>
          <w:color w:val="008000"/>
        </w:rPr>
        <w:t>三大正面發現 Key Wins</w:t>
      </w:r>
    </w:p>
    <w:p>
      <w:r>
        <w:t>✅ HK Campaign CPA HK$46.11 — 低於行業基準（HK$50–200），廣告費用效益出色</w:t>
      </w:r>
    </w:p>
    <w:p>
      <w:r>
        <w:t>✅ JP Campaign CTR 3.05% — 超越整體平均，顯示日本受眾廣告創意反應良好</w:t>
      </w:r>
    </w:p>
    <w:p>
      <w:r>
        <w:t>✅ 農曆新年後流量迅速恢復 — 節後第一週點擊回升至節前水平，廣告定向健康</w:t>
      </w:r>
    </w:p>
    <w:p/>
    <w:p>
      <w:pPr>
        <w:pStyle w:val="Heading2"/>
      </w:pPr>
      <w:r>
        <w:rPr>
          <w:color w:val="FFA500"/>
        </w:rPr>
        <w:t>三個需關注問題 Issues</w:t>
      </w:r>
    </w:p>
    <w:p>
      <w:r>
        <w:t>⚠️ 整體 CTR 2.14% 接近行業下限（2.5–5%），廣告文案有優化空間</w:t>
      </w:r>
    </w:p>
    <w:p>
      <w:r>
        <w:t>⚠️ 2月9日 CPC 異常（HK$23.27），建議向 Google Ads 支援查詢確認原因</w:t>
      </w:r>
    </w:p>
    <w:p>
      <w:r>
        <w:t>⚠️ 78% 預算集中於 HK Campaign，預算分配較集中，建議評估風險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>
              <w:t>⚠️ 重要聲明：本次服務範圍為廣告系列設定。以下持續優化服務屬 Area2 獨立收費項目，如有興趣歡迎向 Area2 查詢報價。</w:t>
            </w:r>
          </w:p>
        </w:tc>
      </w:tr>
    </w:tbl>
    <w:p/>
    <w:p>
      <w:pPr>
        <w:pStyle w:val="Heading2"/>
      </w:pPr>
      <w:r>
        <w:t>策略建議</w:t>
      </w:r>
    </w:p>
    <w:p>
      <w:pPr>
        <w:pStyle w:val="ListNumber"/>
      </w:pPr>
      <w:r>
        <w:t>📊 定期成效追蹤報告（月度/季度）— 持續監察廣告成效，及時調整策略（月度報告服務）</w:t>
      </w:r>
    </w:p>
    <w:p>
      <w:pPr>
        <w:pStyle w:val="ListNumber"/>
      </w:pPr>
      <w:r>
        <w:t>🎯 廣告文案 A/B 測試 — 優化廣告標題及描述，目標 CTR 提升至 3%+（廣告管理服務）</w:t>
      </w:r>
    </w:p>
    <w:p>
      <w:pPr>
        <w:pStyle w:val="ListNumber"/>
      </w:pPr>
      <w:r>
        <w:t>📅 智能出價策略設定 — 根據每日趨勢調整出價，提升廣告費效比（廣告管理服務）</w:t>
      </w:r>
    </w:p>
    <w:p>
      <w:pPr>
        <w:pStyle w:val="ListNumber"/>
      </w:pPr>
      <w:r>
        <w:t>🔄 再行銷受眾建立 — 針對已觀看廣告用戶重新觸及，提升轉換機會（再行銷設定服務）</w:t>
      </w:r>
    </w:p>
    <w:p>
      <w:pPr>
        <w:pStyle w:val="ListNumber"/>
      </w:pPr>
      <w:r>
        <w:t>📈 季節性廣告策略規劃 — 針對重要節日預先調整預算，最大化曝光（年度策略服務）</w:t>
      </w:r>
    </w:p>
    <w:p/>
    <w:p>
      <w:pPr>
        <w:pStyle w:val="Heading2"/>
      </w:pPr>
      <w:r>
        <w:t>30天行動計劃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優先級</w:t>
            </w:r>
          </w:p>
        </w:tc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行動項目</w:t>
            </w:r>
          </w:p>
        </w:tc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異常點擊調查</w:t>
            </w:r>
          </w:p>
        </w:tc>
        <w:tc>
          <w:tcPr>
            <w:tcW w:type="dxa" w:w="2880"/>
          </w:tcPr>
          <w:p>
            <w:r>
              <w:t>向 Google 申訴 2月9日 異常扣費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文案優化</w:t>
            </w:r>
          </w:p>
        </w:tc>
        <w:tc>
          <w:tcPr>
            <w:tcW w:type="dxa" w:w="2880"/>
          </w:tcPr>
          <w:p>
            <w:r>
              <w:t>新增 2 組廣告文案進行 A/B 測試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預算調整</w:t>
            </w:r>
          </w:p>
        </w:tc>
        <w:tc>
          <w:tcPr>
            <w:tcW w:type="dxa" w:w="2880"/>
          </w:tcPr>
          <w:p>
            <w:r>
              <w:t>微調 JP 市場預算以測試轉換潛力</w:t>
            </w:r>
          </w:p>
        </w:tc>
      </w:tr>
    </w:tbl>
    <w:p/>
    <w:p>
      <w:pPr>
        <w:pStyle w:val="Heading2"/>
      </w:pPr>
      <w:r>
        <w:t>預期成效（3個月）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指標</w:t>
            </w:r>
          </w:p>
        </w:tc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現況</w:t>
            </w:r>
          </w:p>
        </w:tc>
        <w:tc>
          <w:tcPr>
            <w:tcW w:type="dxa" w:w="2880"/>
            <w:shd w:val="clear" w:color="auto" w:fill="0D1117"/>
          </w:tcPr>
          <w:p>
            <w:r>
              <w:rPr>
                <w:color w:val="FFFFFF"/>
              </w:rPr>
              <w:t>預期改善</w:t>
            </w:r>
          </w:p>
        </w:tc>
      </w:tr>
      <w:tr>
        <w:tc>
          <w:tcPr>
            <w:tcW w:type="dxa" w:w="2880"/>
          </w:tcPr>
          <w:p>
            <w:r>
              <w:t>CTR</w:t>
            </w:r>
          </w:p>
        </w:tc>
        <w:tc>
          <w:tcPr>
            <w:tcW w:type="dxa" w:w="2880"/>
          </w:tcPr>
          <w:p>
            <w:r>
              <w:t>2.14%</w:t>
            </w:r>
          </w:p>
        </w:tc>
        <w:tc>
          <w:tcPr>
            <w:tcW w:type="dxa" w:w="2880"/>
          </w:tcPr>
          <w:p>
            <w:r>
              <w:t>2.50% - 3.00%</w:t>
            </w:r>
          </w:p>
        </w:tc>
      </w:tr>
      <w:tr>
        <w:tc>
          <w:tcPr>
            <w:tcW w:type="dxa" w:w="2880"/>
          </w:tcPr>
          <w:p>
            <w:r>
              <w:t>CPA</w:t>
            </w:r>
          </w:p>
        </w:tc>
        <w:tc>
          <w:tcPr>
            <w:tcW w:type="dxa" w:w="2880"/>
          </w:tcPr>
          <w:p>
            <w:r>
              <w:t>HK$59.47</w:t>
            </w:r>
          </w:p>
        </w:tc>
        <w:tc>
          <w:tcPr>
            <w:tcW w:type="dxa" w:w="2880"/>
          </w:tcPr>
          <w:p>
            <w:r>
              <w:t>HK$50 - HK$55</w:t>
            </w:r>
          </w:p>
        </w:tc>
      </w:tr>
      <w:tr>
        <w:tc>
          <w:tcPr>
            <w:tcW w:type="dxa" w:w="2880"/>
          </w:tcPr>
          <w:p>
            <w:r>
              <w:t>轉換率</w:t>
            </w:r>
          </w:p>
        </w:tc>
        <w:tc>
          <w:tcPr>
            <w:tcW w:type="dxa" w:w="2880"/>
          </w:tcPr>
          <w:p>
            <w:r>
              <w:t>2.65%</w:t>
            </w:r>
          </w:p>
        </w:tc>
        <w:tc>
          <w:tcPr>
            <w:tcW w:type="dxa" w:w="2880"/>
          </w:tcPr>
          <w:p>
            <w:r>
              <w:t>3.00%+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TC" w:hAnsi="Noto Serif CJK TC" w:eastAsia="Noto Serif CJK TC"/>
      <w:color w:val="66666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Noto Serif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Noto Serif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