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4.png" ContentType="image/png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SEM 成效報告</w:t>
      </w:r>
    </w:p>
    <w:p>
      <w:pPr>
        <w:pStyle w:val="BodyText"/>
      </w:pPr>
      <w:r>
        <w:t xml:space="preserve">Area2 (HK) Limited</w:t>
      </w:r>
    </w:p>
    <w:p>
      <w:pPr>
        <w:pStyle w:val="BodyText"/>
      </w:pPr>
      <w:r>
        <w:rPr>
          <w:b/>
        </w:rPr>
        <w:t xml:space="preserve">客戶:</w:t>
      </w:r>
      <w:r>
        <w:t xml:space="preserve"> </w:t>
      </w:r>
      <w:r>
        <w:t xml:space="preserve">Green Tea Production</w:t>
      </w:r>
      <w:r>
        <w:br/>
      </w:r>
      <w:r>
        <w:rPr>
          <w:b/>
        </w:rPr>
        <w:t xml:space="preserve">分析期間:</w:t>
      </w:r>
      <w:r>
        <w:t xml:space="preserve"> </w:t>
      </w:r>
      <w:r>
        <w:t xml:space="preserve">2026-01-22 to 2026-02-22</w:t>
      </w:r>
      <w:r>
        <w:br/>
      </w:r>
      <w:r>
        <w:rPr>
          <w:b/>
        </w:rPr>
        <w:t xml:space="preserve">帳戶 ID:</w:t>
      </w:r>
      <w:r>
        <w:t xml:space="preserve"> </w:t>
      </w:r>
      <w:r>
        <w:t xml:space="preserve">546-079-5892</w:t>
      </w:r>
      <w:r>
        <w:br/>
      </w:r>
      <w:r>
        <w:rPr>
          <w:b/>
        </w:rPr>
        <w:t xml:space="preserve">報告日期:</w:t>
      </w:r>
      <w:r>
        <w:t xml:space="preserve"> </w:t>
      </w:r>
      <w:r>
        <w:t xml:space="preserve">2026-03-12</w:t>
      </w:r>
    </w:p>
    <w:p>
      <w:pPr>
        <w:pStyle w:val="BodyText"/>
      </w:pPr>
      <w:r>
        <w:t xml:space="preserve">CONFIDENTIAL — For Client Use Only</w:t>
      </w:r>
    </w:p>
    <w:p>
      <w:pPr>
        <w:pStyle w:val="Heading2"/>
      </w:pPr>
      <w:bookmarkStart w:id="20" w:name="管理層摘要-executive-summary"/>
      <w:r>
        <w:t xml:space="preserve">1. 管理層摘要 (Executive Summary)</w:t>
      </w:r>
      <w:bookmarkEnd w:id="20"/>
    </w:p>
    <w:p>
      <w:pPr>
        <w:pStyle w:val="FirstParagraph"/>
      </w:pPr>
      <w:r>
        <w:t xml:space="preserve">本報告分析 Green Tea Production 於 2026-01-22 to 2026-02-22 期間的 Google Ads 廣告成效。重點涵蓋香港及日本市場的 Performance Max 廣告系列表現。</w:t>
      </w:r>
    </w:p>
    <w:p>
      <w:pPr>
        <w:pStyle w:val="Heading3"/>
      </w:pPr>
      <w:bookmarkStart w:id="21" w:name="kpi-概覽"/>
      <w:r>
        <w:t xml:space="preserve">KPI 概覽</w:t>
      </w:r>
      <w:bookmarkEnd w:id="21"/>
    </w:p>
    <w:p>
      <w:pPr>
        <w:pStyle w:val="FirstParagraph"/>
      </w:pPr>
      <w:r>
        <w:t xml:space="preserve">HK$1,427.31</w:t>
      </w:r>
      <w:r>
        <w:t xml:space="preserve"> </w:t>
      </w:r>
      <w:r>
        <w:t xml:space="preserve">總費用</w:t>
      </w:r>
    </w:p>
    <w:p>
      <w:pPr>
        <w:pStyle w:val="BodyText"/>
      </w:pPr>
      <w:r>
        <w:t xml:space="preserve">907</w:t>
      </w:r>
      <w:r>
        <w:t xml:space="preserve"> </w:t>
      </w:r>
      <w:r>
        <w:t xml:space="preserve">總點擊</w:t>
      </w:r>
    </w:p>
    <w:p>
      <w:pPr>
        <w:pStyle w:val="BodyText"/>
      </w:pPr>
      <w:r>
        <w:t xml:space="preserve">42,405</w:t>
      </w:r>
      <w:r>
        <w:t xml:space="preserve"> </w:t>
      </w:r>
      <w:r>
        <w:t xml:space="preserve">總展示</w:t>
      </w:r>
    </w:p>
    <w:p>
      <w:pPr>
        <w:pStyle w:val="BodyText"/>
      </w:pPr>
      <w:r>
        <w:t xml:space="preserve">2.14%</w:t>
      </w:r>
      <w:r>
        <w:t xml:space="preserve"> </w:t>
      </w:r>
      <w:r>
        <w:t xml:space="preserve">整體 CTR</w:t>
      </w:r>
    </w:p>
    <w:p>
      <w:pPr>
        <w:pStyle w:val="BodyText"/>
      </w:pPr>
      <w:r>
        <w:t xml:space="preserve">HK$1.57</w:t>
      </w:r>
      <w:r>
        <w:t xml:space="preserve"> </w:t>
      </w:r>
      <w:r>
        <w:t xml:space="preserve">平均 CPC</w:t>
      </w:r>
    </w:p>
    <w:p>
      <w:pPr>
        <w:pStyle w:val="BodyText"/>
      </w:pPr>
      <w:r>
        <w:t xml:space="preserve">HK$59.47</w:t>
      </w:r>
      <w:r>
        <w:t xml:space="preserve"> </w:t>
      </w:r>
      <w:r>
        <w:t xml:space="preserve">HK CPA</w:t>
      </w:r>
    </w:p>
    <w:p>
      <w:pPr>
        <w:pStyle w:val="BodyText"/>
      </w:pPr>
      <w:r>
        <w:rPr>
          <w:b/>
        </w:rPr>
        <w:t xml:space="preserve">重點發現:</w:t>
      </w:r>
    </w:p>
    <w:p>
      <w:pPr>
        <w:numPr>
          <w:ilvl w:val="0"/>
          <w:numId w:val="1001"/>
        </w:numPr>
        <w:pStyle w:val="Compact"/>
      </w:pPr>
      <w:r>
        <w:t xml:space="preserve">HK Campaign CPC HK$1.78 遠低於行業基準 HK$8-25，媒體採購效率優秀</w:t>
      </w:r>
    </w:p>
    <w:p>
      <w:pPr>
        <w:numPr>
          <w:ilvl w:val="0"/>
          <w:numId w:val="1001"/>
        </w:numPr>
        <w:pStyle w:val="Compact"/>
      </w:pPr>
      <w:r>
        <w:t xml:space="preserve">32天投放共錄得 907 次點擊，HK Campaign 成功錄得 24 次轉換</w:t>
      </w:r>
    </w:p>
    <w:p>
      <w:pPr>
        <w:numPr>
          <w:ilvl w:val="0"/>
          <w:numId w:val="1001"/>
        </w:numPr>
        <w:pStyle w:val="Compact"/>
      </w:pPr>
      <w:r>
        <w:t xml:space="preserve">YouTube 廣告覆蓋廣泛，3516 次展示，佔比最高，品牌曝光表現理想</w:t>
      </w:r>
    </w:p>
    <w:p>
      <w:pPr>
        <w:pStyle w:val="Heading2"/>
      </w:pPr>
      <w:bookmarkStart w:id="22" w:name="廣告系列表現對比"/>
      <w:r>
        <w:t xml:space="preserve">2. 廣告系列表現對比</w:t>
      </w:r>
      <w:bookmarkEnd w:id="22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指標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Green Tea - HK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Green Tea - JP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行業基準 (B2B)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費用</w:t>
            </w:r>
          </w:p>
        </w:tc>
        <w:tc>
          <w:p>
            <w:pPr>
              <w:pStyle w:val="Compact"/>
              <w:jc w:val="left"/>
            </w:pPr>
            <w:r>
              <w:t xml:space="preserve">HK$1,106.63</w:t>
            </w:r>
          </w:p>
        </w:tc>
        <w:tc>
          <w:p>
            <w:pPr>
              <w:pStyle w:val="Compact"/>
              <w:jc w:val="left"/>
            </w:pPr>
            <w:r>
              <w:t xml:space="preserve">HK$320.68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點擊</w:t>
            </w:r>
          </w:p>
        </w:tc>
        <w:tc>
          <w:p>
            <w:pPr>
              <w:pStyle w:val="Compact"/>
              <w:jc w:val="left"/>
            </w:pPr>
            <w:r>
              <w:t xml:space="preserve">620</w:t>
            </w:r>
          </w:p>
        </w:tc>
        <w:tc>
          <w:p>
            <w:pPr>
              <w:pStyle w:val="Compact"/>
              <w:jc w:val="left"/>
            </w:pPr>
            <w:r>
              <w:t xml:space="preserve">287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展示</w:t>
            </w:r>
          </w:p>
        </w:tc>
        <w:tc>
          <w:p>
            <w:pPr>
              <w:pStyle w:val="Compact"/>
              <w:jc w:val="left"/>
            </w:pPr>
            <w:r>
              <w:t xml:space="preserve">32,987</w:t>
            </w:r>
          </w:p>
        </w:tc>
        <w:tc>
          <w:p>
            <w:pPr>
              <w:pStyle w:val="Compact"/>
              <w:jc w:val="left"/>
            </w:pPr>
            <w:r>
              <w:t xml:space="preserve">9,418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CTR</w:t>
            </w:r>
          </w:p>
        </w:tc>
        <w:tc>
          <w:p>
            <w:pPr>
              <w:pStyle w:val="Compact"/>
              <w:jc w:val="left"/>
            </w:pPr>
            <w:r>
              <w:t xml:space="preserve">1.88%</w:t>
            </w:r>
          </w:p>
        </w:tc>
        <w:tc>
          <w:p>
            <w:pPr>
              <w:pStyle w:val="Compact"/>
              <w:jc w:val="left"/>
            </w:pPr>
            <w:r>
              <w:t xml:space="preserve">3.05%</w:t>
            </w:r>
          </w:p>
        </w:tc>
        <w:tc>
          <w:p>
            <w:pPr>
              <w:pStyle w:val="Compact"/>
              <w:jc w:val="left"/>
            </w:pPr>
            <w:r>
              <w:t xml:space="preserve">2-4%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平均 CPC</w:t>
            </w:r>
          </w:p>
        </w:tc>
        <w:tc>
          <w:p>
            <w:pPr>
              <w:pStyle w:val="Compact"/>
              <w:jc w:val="left"/>
            </w:pPr>
            <w:r>
              <w:t xml:space="preserve">HK$1.78</w:t>
            </w:r>
          </w:p>
        </w:tc>
        <w:tc>
          <w:p>
            <w:pPr>
              <w:pStyle w:val="Compact"/>
              <w:jc w:val="left"/>
            </w:pPr>
            <w:r>
              <w:t xml:space="preserve">HK$1.12</w:t>
            </w:r>
          </w:p>
        </w:tc>
        <w:tc>
          <w:p>
            <w:pPr>
              <w:pStyle w:val="Compact"/>
              <w:jc w:val="left"/>
            </w:pPr>
            <w:r>
              <w:t xml:space="preserve">HK$8-25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轉換次數</w:t>
            </w:r>
          </w:p>
        </w:tc>
        <w:tc>
          <w:p>
            <w:pPr>
              <w:pStyle w:val="Compact"/>
              <w:jc w:val="left"/>
            </w:pPr>
            <w:r>
              <w:t xml:space="preserve">24</w:t>
            </w:r>
          </w:p>
        </w:tc>
        <w:tc>
          <w:p>
            <w:pPr>
              <w:pStyle w:val="Compact"/>
              <w:jc w:val="left"/>
            </w:pPr>
            <w:r>
              <w:t xml:space="preserve">N/A*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CPA</w:t>
            </w:r>
          </w:p>
        </w:tc>
        <w:tc>
          <w:p>
            <w:pPr>
              <w:pStyle w:val="Compact"/>
              <w:jc w:val="left"/>
            </w:pPr>
            <w:r>
              <w:t xml:space="preserve">HK$46.11</w:t>
            </w:r>
          </w:p>
        </w:tc>
        <w:tc>
          <w:p>
            <w:pPr>
              <w:pStyle w:val="Compact"/>
              <w:jc w:val="left"/>
            </w:pPr>
            <w:r>
              <w:t xml:space="preserve">N/A*</w:t>
            </w:r>
          </w:p>
        </w:tc>
        <w:tc>
          <w:p>
            <w:pPr>
              <w:pStyle w:val="Compact"/>
              <w:jc w:val="left"/>
            </w:pPr>
            <w:r>
              <w:t xml:space="preserve">HK$50-200</w:t>
            </w:r>
          </w:p>
        </w:tc>
      </w:tr>
    </w:tbl>
    <w:p>
      <w:pPr>
        <w:pStyle w:val="BodyText"/>
      </w:pPr>
      <w:r>
        <w:t xml:space="preserve">*註：JP Campaign 未設定轉換追蹤，故無轉換數據。</w:t>
      </w:r>
    </w:p>
    <w:p>
      <w:pPr>
        <w:pStyle w:val="Heading2"/>
      </w:pPr>
      <w:bookmarkStart w:id="23" w:name="廣告位置分析"/>
      <w:r>
        <w:t xml:space="preserve">3. 廣告位置分析</w:t>
      </w:r>
      <w:bookmarkEnd w:id="23"/>
    </w:p>
    <w:p>
      <w:pPr>
        <w:pStyle w:val="FirstParagraph"/>
      </w:pPr>
      <w:r>
        <w:t xml:space="preserve">分析廣告在不同版位（YouTube, Display, Search 等）的曝光分佈。</w:t>
      </w:r>
    </w:p>
    <w:p>
      <w:pPr>
        <w:pStyle w:val="BodyText"/>
      </w:pPr>
      <w:r>
        <w:drawing>
          <wp:inline>
            <wp:extent cx="5334000" cy="2667000"/>
            <wp:effectExtent b="0" l="0" r="0" t="0"/>
            <wp:docPr descr="" title="" id="1" name="Picture"/>
            <a:graphic>
              <a:graphicData uri="http://schemas.openxmlformats.org/drawingml/2006/picture">
                <pic:pic>
                  <pic:nvPicPr>
                    <pic:cNvPr descr="chart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67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Heading3"/>
      </w:pPr>
      <w:bookmarkStart w:id="25" w:name="top-5-應用程式位置"/>
      <w:r>
        <w:t xml:space="preserve">Top 5 應用程式位置</w:t>
      </w:r>
      <w:bookmarkEnd w:id="25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排名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應用程式名稱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展示次數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Mobile App: 東網 - 東方日報 for iPad (iTunes App Store), by on.cc (HK) Limited</w:t>
            </w:r>
          </w:p>
        </w:tc>
        <w:tc>
          <w:p>
            <w:pPr>
              <w:pStyle w:val="Compact"/>
              <w:jc w:val="left"/>
            </w:pPr>
            <w:r>
              <w:t xml:space="preserve">12,852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Mobile App: TownWiFi byGMO | WiFi 無處不在 (Google Play), by GMOタウンWiFi</w:t>
            </w:r>
          </w:p>
        </w:tc>
        <w:tc>
          <w:p>
            <w:pPr>
              <w:pStyle w:val="Compact"/>
              <w:jc w:val="left"/>
            </w:pPr>
            <w:r>
              <w:t xml:space="preserve">931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t xml:space="preserve">Mobile App: 東網 - 東方日報 (iTunes App Store), by on.cc (HK) Limited</w:t>
            </w:r>
          </w:p>
        </w:tc>
        <w:tc>
          <w:p>
            <w:pPr>
              <w:pStyle w:val="Compact"/>
              <w:jc w:val="left"/>
            </w:pPr>
            <w:r>
              <w:t xml:space="preserve">877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p>
            <w:pPr>
              <w:pStyle w:val="Compact"/>
              <w:jc w:val="left"/>
            </w:pPr>
            <w:r>
              <w:t xml:space="preserve">Mobile App: App1933 - KMB . LWB (iTunes App Store), by The Kowloon Motor Bus Co. 1933 Ltd.</w:t>
            </w:r>
          </w:p>
        </w:tc>
        <w:tc>
          <w:p>
            <w:pPr>
              <w:pStyle w:val="Compact"/>
              <w:jc w:val="left"/>
            </w:pPr>
            <w:r>
              <w:t xml:space="preserve">390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p>
            <w:pPr>
              <w:pStyle w:val="Compact"/>
              <w:jc w:val="left"/>
            </w:pPr>
            <w:r>
              <w:t xml:space="preserve">Mobile App: Hong Kong Mahjong Club (iTunes App Store), by Recax Technology Limited</w:t>
            </w:r>
          </w:p>
        </w:tc>
        <w:tc>
          <w:p>
            <w:pPr>
              <w:pStyle w:val="Compact"/>
              <w:jc w:val="left"/>
            </w:pPr>
            <w:r>
              <w:t xml:space="preserve">357</w:t>
            </w:r>
          </w:p>
        </w:tc>
      </w:tr>
    </w:tbl>
    <w:p>
      <w:pPr>
        <w:pStyle w:val="Heading2"/>
      </w:pPr>
      <w:bookmarkStart w:id="26" w:name="最佳投放時段分析-hk-campaign"/>
      <w:r>
        <w:t xml:space="preserve">4. 最佳投放時段分析 (HK Campaign)</w:t>
      </w:r>
      <w:bookmarkEnd w:id="26"/>
    </w:p>
    <w:p>
      <w:pPr>
        <w:pStyle w:val="FirstParagraph"/>
      </w:pPr>
      <w:r>
        <w:t xml:space="preserve">基於轉換數據，識別最高效的廣告時段。</w:t>
      </w:r>
    </w:p>
    <w:p>
      <w:pPr>
        <w:pStyle w:val="Heading3"/>
      </w:pPr>
      <w:bookmarkStart w:id="27" w:name="top-5-最高轉換時段"/>
      <w:r>
        <w:t xml:space="preserve">Top 5 最高轉換時段</w:t>
      </w:r>
      <w:bookmarkEnd w:id="27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時段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點擊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轉換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轉換率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CPA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星期日，2:00 PM - 7:00 PM</w:t>
            </w:r>
          </w:p>
        </w:tc>
        <w:tc>
          <w:p>
            <w:pPr>
              <w:pStyle w:val="Compact"/>
              <w:jc w:val="left"/>
            </w:pPr>
            <w:r>
              <w:t xml:space="preserve">63</w:t>
            </w:r>
          </w:p>
        </w:tc>
        <w:tc>
          <w:p>
            <w:pPr>
              <w:pStyle w:val="Compact"/>
              <w:jc w:val="left"/>
            </w:pPr>
            <w:r>
              <w:t xml:space="preserve">6.0</w:t>
            </w:r>
          </w:p>
        </w:tc>
        <w:tc>
          <w:p>
            <w:pPr>
              <w:pStyle w:val="Compact"/>
              <w:jc w:val="left"/>
            </w:pPr>
            <w:r>
              <w:t xml:space="preserve">4.58%</w:t>
            </w:r>
          </w:p>
        </w:tc>
        <w:tc>
          <w:p>
            <w:pPr>
              <w:pStyle w:val="Compact"/>
              <w:jc w:val="left"/>
            </w:pPr>
            <w:r>
              <w:t xml:space="preserve">HK$17.98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星期六，9:00 AM - 1:00 PM</w:t>
            </w:r>
          </w:p>
        </w:tc>
        <w:tc>
          <w:p>
            <w:pPr>
              <w:pStyle w:val="Compact"/>
              <w:jc w:val="left"/>
            </w:pPr>
            <w:r>
              <w:t xml:space="preserve">45</w:t>
            </w:r>
          </w:p>
        </w:tc>
        <w:tc>
          <w:p>
            <w:pPr>
              <w:pStyle w:val="Compact"/>
              <w:jc w:val="left"/>
            </w:pPr>
            <w:r>
              <w:t xml:space="preserve">5.0</w:t>
            </w:r>
          </w:p>
        </w:tc>
        <w:tc>
          <w:p>
            <w:pPr>
              <w:pStyle w:val="Compact"/>
              <w:jc w:val="left"/>
            </w:pPr>
            <w:r>
              <w:t xml:space="preserve">10.0%</w:t>
            </w:r>
          </w:p>
        </w:tc>
        <w:tc>
          <w:p>
            <w:pPr>
              <w:pStyle w:val="Compact"/>
              <w:jc w:val="left"/>
            </w:pPr>
            <w:r>
              <w:t xml:space="preserve">HK$20.62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星期五，2:00 PM - 7:00 PM</w:t>
            </w:r>
          </w:p>
        </w:tc>
        <w:tc>
          <w:p>
            <w:pPr>
              <w:pStyle w:val="Compact"/>
              <w:jc w:val="left"/>
            </w:pPr>
            <w:r>
              <w:t xml:space="preserve">80</w:t>
            </w:r>
          </w:p>
        </w:tc>
        <w:tc>
          <w:p>
            <w:pPr>
              <w:pStyle w:val="Compact"/>
              <w:jc w:val="left"/>
            </w:pPr>
            <w:r>
              <w:t xml:space="preserve">5.0</w:t>
            </w:r>
          </w:p>
        </w:tc>
        <w:tc>
          <w:p>
            <w:pPr>
              <w:pStyle w:val="Compact"/>
              <w:jc w:val="left"/>
            </w:pPr>
            <w:r>
              <w:t xml:space="preserve">4.39%</w:t>
            </w:r>
          </w:p>
        </w:tc>
        <w:tc>
          <w:p>
            <w:pPr>
              <w:pStyle w:val="Compact"/>
              <w:jc w:val="left"/>
            </w:pPr>
            <w:r>
              <w:t xml:space="preserve">HK$17.18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星期三，2:00 PM - 7:00 PM</w:t>
            </w:r>
          </w:p>
        </w:tc>
        <w:tc>
          <w:p>
            <w:pPr>
              <w:pStyle w:val="Compact"/>
              <w:jc w:val="left"/>
            </w:pPr>
            <w:r>
              <w:t xml:space="preserve">52</w:t>
            </w:r>
          </w:p>
        </w:tc>
        <w:tc>
          <w:p>
            <w:pPr>
              <w:pStyle w:val="Compact"/>
              <w:jc w:val="left"/>
            </w:pPr>
            <w:r>
              <w:t xml:space="preserve">3.0</w:t>
            </w:r>
          </w:p>
        </w:tc>
        <w:tc>
          <w:p>
            <w:pPr>
              <w:pStyle w:val="Compact"/>
              <w:jc w:val="left"/>
            </w:pPr>
            <w:r>
              <w:t xml:space="preserve">1.13%</w:t>
            </w:r>
          </w:p>
        </w:tc>
        <w:tc>
          <w:p>
            <w:pPr>
              <w:pStyle w:val="Compact"/>
              <w:jc w:val="left"/>
            </w:pPr>
            <w:r>
              <w:t xml:space="preserve">HK$32.73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星期三，9:00 AM - 1:00 PM</w:t>
            </w:r>
          </w:p>
        </w:tc>
        <w:tc>
          <w:p>
            <w:pPr>
              <w:pStyle w:val="Compact"/>
              <w:jc w:val="left"/>
            </w:pPr>
            <w:r>
              <w:t xml:space="preserve">38</w:t>
            </w:r>
          </w:p>
        </w:tc>
        <w:tc>
          <w:p>
            <w:pPr>
              <w:pStyle w:val="Compact"/>
              <w:jc w:val="left"/>
            </w:pPr>
            <w:r>
              <w:t xml:space="preserve">2.0</w:t>
            </w:r>
          </w:p>
        </w:tc>
        <w:tc>
          <w:p>
            <w:pPr>
              <w:pStyle w:val="Compact"/>
              <w:jc w:val="left"/>
            </w:pPr>
            <w:r>
              <w:t xml:space="preserve">0.31%</w:t>
            </w:r>
          </w:p>
        </w:tc>
        <w:tc>
          <w:p>
            <w:pPr>
              <w:pStyle w:val="Compact"/>
              <w:jc w:val="left"/>
            </w:pPr>
            <w:r>
              <w:t xml:space="preserve">HK$55.74</w:t>
            </w:r>
          </w:p>
        </w:tc>
      </w:tr>
    </w:tbl>
    <w:p>
      <w:pPr>
        <w:pStyle w:val="Heading2"/>
      </w:pPr>
      <w:bookmarkStart w:id="28" w:name="農曆新年-cny-影響分析"/>
      <w:r>
        <w:t xml:space="preserve">5. 農曆新年 (CNY) 影響分析</w:t>
      </w:r>
      <w:bookmarkEnd w:id="28"/>
    </w:p>
    <w:p>
      <w:pPr>
        <w:pStyle w:val="FirstParagraph"/>
      </w:pPr>
      <w:r>
        <w:t xml:space="preserve">分析假期前後的流量變化趨勢。</w:t>
      </w:r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時段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日期範圍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天數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日均點擊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日均費用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日均展示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Pre-CNY</w:t>
            </w:r>
          </w:p>
        </w:tc>
        <w:tc>
          <w:p>
            <w:pPr>
              <w:pStyle w:val="Compact"/>
              <w:jc w:val="left"/>
            </w:pPr>
            <w:r>
              <w:t xml:space="preserve">1/22 - 1/28</w:t>
            </w:r>
          </w:p>
        </w:tc>
        <w:tc>
          <w:p>
            <w:pPr>
              <w:pStyle w:val="Compact"/>
              <w:jc w:val="left"/>
            </w:pPr>
            <w:r>
              <w:t xml:space="preserve">7天</w:t>
            </w:r>
          </w:p>
        </w:tc>
        <w:tc>
          <w:p>
            <w:pPr>
              <w:pStyle w:val="Compact"/>
              <w:jc w:val="left"/>
            </w:pPr>
            <w:r>
              <w:t xml:space="preserve">33.6</w:t>
            </w:r>
          </w:p>
        </w:tc>
        <w:tc>
          <w:p>
            <w:pPr>
              <w:pStyle w:val="Compact"/>
              <w:jc w:val="left"/>
            </w:pPr>
            <w:r>
              <w:t xml:space="preserve">HK$55.68</w:t>
            </w:r>
          </w:p>
        </w:tc>
        <w:tc>
          <w:p>
            <w:pPr>
              <w:pStyle w:val="Compact"/>
              <w:jc w:val="left"/>
            </w:pPr>
            <w:r>
              <w:t xml:space="preserve">1,475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CNY 假期</w:t>
            </w:r>
          </w:p>
        </w:tc>
        <w:tc>
          <w:p>
            <w:pPr>
              <w:pStyle w:val="Compact"/>
              <w:jc w:val="left"/>
            </w:pPr>
            <w:r>
              <w:t xml:space="preserve">1/29 - 2/12</w:t>
            </w:r>
          </w:p>
        </w:tc>
        <w:tc>
          <w:p>
            <w:pPr>
              <w:pStyle w:val="Compact"/>
              <w:jc w:val="left"/>
            </w:pPr>
            <w:r>
              <w:t xml:space="preserve">15天</w:t>
            </w:r>
          </w:p>
        </w:tc>
        <w:tc>
          <w:p>
            <w:pPr>
              <w:pStyle w:val="Compact"/>
              <w:jc w:val="left"/>
            </w:pPr>
            <w:r>
              <w:t xml:space="preserve">24.7</w:t>
            </w:r>
          </w:p>
        </w:tc>
        <w:tc>
          <w:p>
            <w:pPr>
              <w:pStyle w:val="Compact"/>
              <w:jc w:val="left"/>
            </w:pPr>
            <w:r>
              <w:t xml:space="preserve">HK$40.32</w:t>
            </w:r>
          </w:p>
        </w:tc>
        <w:tc>
          <w:p>
            <w:pPr>
              <w:pStyle w:val="Compact"/>
              <w:jc w:val="left"/>
            </w:pPr>
            <w:r>
              <w:t xml:space="preserve">746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Post-CNY</w:t>
            </w:r>
          </w:p>
        </w:tc>
        <w:tc>
          <w:p>
            <w:pPr>
              <w:pStyle w:val="Compact"/>
              <w:jc w:val="left"/>
            </w:pPr>
            <w:r>
              <w:t xml:space="preserve">2/13 - 2/22</w:t>
            </w:r>
          </w:p>
        </w:tc>
        <w:tc>
          <w:p>
            <w:pPr>
              <w:pStyle w:val="Compact"/>
              <w:jc w:val="left"/>
            </w:pPr>
            <w:r>
              <w:t xml:space="preserve">10天</w:t>
            </w:r>
          </w:p>
        </w:tc>
        <w:tc>
          <w:p>
            <w:pPr>
              <w:pStyle w:val="Compact"/>
              <w:jc w:val="left"/>
            </w:pPr>
            <w:r>
              <w:t xml:space="preserve">30.1</w:t>
            </w:r>
          </w:p>
        </w:tc>
        <w:tc>
          <w:p>
            <w:pPr>
              <w:pStyle w:val="Compact"/>
              <w:jc w:val="left"/>
            </w:pPr>
            <w:r>
              <w:t xml:space="preserve">HK$43.28</w:t>
            </w:r>
          </w:p>
        </w:tc>
        <w:tc>
          <w:p>
            <w:pPr>
              <w:pStyle w:val="Compact"/>
              <w:jc w:val="left"/>
            </w:pPr>
            <w:r>
              <w:t xml:space="preserve">2,090</w:t>
            </w:r>
          </w:p>
        </w:tc>
      </w:tr>
    </w:tbl>
    <w:p>
      <w:pPr>
        <w:pStyle w:val="Heading2"/>
      </w:pPr>
      <w:bookmarkStart w:id="29" w:name="建議行動-action-plan"/>
      <w:r>
        <w:t xml:space="preserve">6. 建議行動 (Action Plan)</w:t>
      </w:r>
      <w:bookmarkEnd w:id="29"/>
    </w:p>
    <w:p>
      <w:pPr>
        <w:numPr>
          <w:ilvl w:val="0"/>
          <w:numId w:val="1002"/>
        </w:numPr>
        <w:pStyle w:val="Compact"/>
      </w:pPr>
      <w:r>
        <w:t xml:space="preserve">週五 2PM-7PM 及週日 2PM-7PM 為 HK Campaign 最高轉換時段，可優先增加預算</w:t>
      </w:r>
    </w:p>
    <w:p>
      <w:pPr>
        <w:numPr>
          <w:ilvl w:val="0"/>
          <w:numId w:val="1002"/>
        </w:numPr>
        <w:pStyle w:val="Compact"/>
      </w:pPr>
      <w:r>
        <w:t xml:space="preserve">週四 11:00 及週五 14:00 單次轉換 CPA 分別低至 HK$14.58 及 HK$7.31，ROI 最優</w:t>
      </w:r>
    </w:p>
    <w:p>
      <w:pPr>
        <w:numPr>
          <w:ilvl w:val="0"/>
          <w:numId w:val="1002"/>
        </w:numPr>
        <w:pStyle w:val="Compact"/>
      </w:pPr>
      <w:r>
        <w:t xml:space="preserve">考慮在 JP Campaign 設定轉換追蹤，以評估日本市場潛力</w:t>
      </w:r>
    </w:p>
    <w:p>
      <w:pPr>
        <w:numPr>
          <w:ilvl w:val="0"/>
          <w:numId w:val="1002"/>
        </w:numPr>
        <w:pStyle w:val="Compact"/>
      </w:pPr>
      <w:r>
        <w:t xml:space="preserve">2月9日異常 CPC 事件建議設定 CPC 上限避免類似情況</w:t>
      </w:r>
    </w:p>
    <w:p>
      <w:pPr>
        <w:pStyle w:val="FirstParagraph"/>
      </w:pPr>
      <w:r>
        <w:t xml:space="preserve">End of Report</w:t>
      </w:r>
      <w:r>
        <w:br/>
      </w:r>
      <w:r>
        <w:t xml:space="preserve">Generated by Area2 AI Reporting Engine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zh-HK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4" Target="media/rId24.png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language>zh-HK</dc:language>
  <cp:keywords/>
  <dcterms:created xsi:type="dcterms:W3CDTF">2026-03-12T07:16:48Z</dcterms:created>
  <dcterms:modified xsi:type="dcterms:W3CDTF">2026-03-12T07:16:48Z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