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D3152" w14:textId="6AFA41AA" w:rsidR="0068716D" w:rsidRDefault="0068716D" w:rsidP="0068716D">
      <w:pPr>
        <w:pStyle w:val="Ttulo"/>
        <w:rPr>
          <w:noProof/>
        </w:rPr>
      </w:pPr>
      <w:r>
        <w:rPr>
          <w:noProof/>
        </w:rPr>
        <w:t xml:space="preserve">Protocolo A. Dispensación </w:t>
      </w:r>
      <w:r w:rsidR="00AE3C53">
        <w:rPr>
          <w:noProof/>
        </w:rPr>
        <w:t xml:space="preserve">y lisado </w:t>
      </w:r>
      <w:r>
        <w:rPr>
          <w:noProof/>
        </w:rPr>
        <w:t>de muestras.</w:t>
      </w:r>
    </w:p>
    <w:p w14:paraId="6E8A7B8B" w14:textId="17893B58" w:rsidR="0068716D" w:rsidRDefault="0068716D" w:rsidP="0068716D"/>
    <w:p w14:paraId="136D76B4" w14:textId="20A6639D" w:rsidR="00E91486" w:rsidRPr="002B076A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Disposición del </w:t>
      </w:r>
      <w:proofErr w:type="spellStart"/>
      <w:r w:rsidRPr="00C763AF">
        <w:rPr>
          <w:rFonts w:asciiTheme="majorHAnsi" w:hAnsiTheme="majorHAnsi" w:cstheme="majorHAnsi"/>
          <w:b/>
          <w:bCs/>
          <w:sz w:val="28"/>
          <w:szCs w:val="28"/>
        </w:rPr>
        <w:t>deck</w:t>
      </w:r>
      <w:proofErr w:type="spellEnd"/>
    </w:p>
    <w:p w14:paraId="286E9CEE" w14:textId="08DDF173" w:rsidR="00C9191C" w:rsidRDefault="00C9191C" w:rsidP="008C218F">
      <w:pPr>
        <w:jc w:val="center"/>
        <w:rPr>
          <w:noProof/>
        </w:rPr>
      </w:pPr>
    </w:p>
    <w:p w14:paraId="6F9D3996" w14:textId="589A0996" w:rsidR="0068716D" w:rsidRDefault="001936B7" w:rsidP="008C218F">
      <w:pPr>
        <w:jc w:val="center"/>
      </w:pPr>
      <w:r>
        <w:rPr>
          <w:noProof/>
        </w:rPr>
        <w:drawing>
          <wp:inline distT="0" distB="0" distL="0" distR="0" wp14:anchorId="49839CF2" wp14:editId="3604C811">
            <wp:extent cx="4903470" cy="3660619"/>
            <wp:effectExtent l="0" t="0" r="0" b="0"/>
            <wp:docPr id="2" name="Imagen 2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ck-A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8"/>
                    <a:stretch/>
                  </pic:blipFill>
                  <pic:spPr bwMode="auto">
                    <a:xfrm>
                      <a:off x="0" y="0"/>
                      <a:ext cx="4905599" cy="3662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8221DE" w14:textId="03696180" w:rsidR="00F74D08" w:rsidRDefault="00F74D08"/>
    <w:p w14:paraId="0AD7123C" w14:textId="05FF8BA0" w:rsidR="004B0F36" w:rsidRPr="004B0F36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C9814E7" w14:textId="379C3F69" w:rsidR="0068716D" w:rsidRDefault="004B0F36">
      <w:r>
        <w:rPr>
          <w:noProof/>
        </w:rPr>
        <w:drawing>
          <wp:anchor distT="0" distB="0" distL="114300" distR="114300" simplePos="0" relativeHeight="251658240" behindDoc="0" locked="0" layoutInCell="1" allowOverlap="1" wp14:anchorId="69FBFFE5" wp14:editId="59D0851A">
            <wp:simplePos x="0" y="0"/>
            <wp:positionH relativeFrom="margin">
              <wp:posOffset>4825365</wp:posOffset>
            </wp:positionH>
            <wp:positionV relativeFrom="paragraph">
              <wp:posOffset>3175</wp:posOffset>
            </wp:positionV>
            <wp:extent cx="967740" cy="2571750"/>
            <wp:effectExtent l="0" t="0" r="3810" b="0"/>
            <wp:wrapSquare wrapText="bothSides"/>
            <wp:docPr id="1" name="Imagen 1" descr="Imagen que contiene interior, comida, mostrador, cocin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comida, mostrador, cocina&#10;&#10;Descripción generada automáticament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t="28748" r="42881" b="22966"/>
                    <a:stretch/>
                  </pic:blipFill>
                  <pic:spPr bwMode="auto">
                    <a:xfrm>
                      <a:off x="0" y="0"/>
                      <a:ext cx="96774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16D">
        <w:t xml:space="preserve">Las muestras se situarán en los </w:t>
      </w:r>
      <w:proofErr w:type="spellStart"/>
      <w:r w:rsidR="0068716D">
        <w:t>tube</w:t>
      </w:r>
      <w:proofErr w:type="spellEnd"/>
      <w:r w:rsidR="0068716D">
        <w:t xml:space="preserve"> racks</w:t>
      </w:r>
      <w:r w:rsidR="001936B7">
        <w:t>,</w:t>
      </w:r>
      <w:r w:rsidR="00A9310B">
        <w:t xml:space="preserve"> habi</w:t>
      </w:r>
      <w:r w:rsidR="001936B7">
        <w:t>endo retirado el hisopo e intentando centrar los tubos lo máximo posible</w:t>
      </w:r>
      <w:r w:rsidR="00A9310B">
        <w:t>,</w:t>
      </w:r>
      <w:r w:rsidR="000540DD">
        <w:t xml:space="preserve"> completando columnas de </w:t>
      </w:r>
      <w:r w:rsidR="001936B7">
        <w:t>9,</w:t>
      </w:r>
      <w:r w:rsidR="0068716D">
        <w:t xml:space="preserve"> es decir, para situar muestras en la segunda columna del primer </w:t>
      </w:r>
      <w:proofErr w:type="spellStart"/>
      <w:r w:rsidR="0068716D">
        <w:t>tube</w:t>
      </w:r>
      <w:proofErr w:type="spellEnd"/>
      <w:r w:rsidR="0068716D">
        <w:t xml:space="preserve"> rack (slot </w:t>
      </w:r>
      <w:r w:rsidR="001936B7">
        <w:t>7</w:t>
      </w:r>
      <w:r w:rsidR="0068716D">
        <w:t xml:space="preserve">) se deberá haber llenado la primera columna tanto de este </w:t>
      </w:r>
      <w:proofErr w:type="spellStart"/>
      <w:r w:rsidR="0068716D">
        <w:t>tube</w:t>
      </w:r>
      <w:proofErr w:type="spellEnd"/>
      <w:r w:rsidR="0068716D">
        <w:t xml:space="preserve"> rack como de</w:t>
      </w:r>
      <w:r w:rsidR="001936B7">
        <w:t xml:space="preserve"> los dos</w:t>
      </w:r>
      <w:r w:rsidR="0068716D">
        <w:t xml:space="preserve"> </w:t>
      </w:r>
      <w:r w:rsidR="00DE4231">
        <w:t>situado</w:t>
      </w:r>
      <w:r w:rsidR="001936B7">
        <w:t>s</w:t>
      </w:r>
      <w:r w:rsidR="00DE4231">
        <w:t xml:space="preserve"> debajo de este (slo</w:t>
      </w:r>
      <w:r w:rsidR="001936B7">
        <w:t>ts</w:t>
      </w:r>
      <w:r w:rsidR="00DE4231">
        <w:t xml:space="preserve"> </w:t>
      </w:r>
      <w:r w:rsidR="001936B7">
        <w:t>4 y 1</w:t>
      </w:r>
      <w:r w:rsidR="00DE4231">
        <w:t>)</w:t>
      </w:r>
      <w:r w:rsidR="0068716D">
        <w:t>.</w:t>
      </w:r>
    </w:p>
    <w:p w14:paraId="464C9066" w14:textId="101E1A61" w:rsidR="004B0F36" w:rsidRDefault="004B0F36">
      <w:r>
        <w:t>Se debe prestar especial atención en situar en el agujero de la base los tubos del tipo mostrado en la imagen para evitar golpes con la pipeta del robot.</w:t>
      </w:r>
    </w:p>
    <w:p w14:paraId="2D58C793" w14:textId="6C31EF25" w:rsidR="00FA343C" w:rsidRDefault="00FA343C">
      <w:r>
        <w:t xml:space="preserve">El protocolo está originalmente diseñado para mover la muestra al </w:t>
      </w:r>
      <w:proofErr w:type="spellStart"/>
      <w:r>
        <w:t>deepwell</w:t>
      </w:r>
      <w:proofErr w:type="spellEnd"/>
      <w:r>
        <w:t xml:space="preserve"> (slot 6) y llevar a cabo el lisado. Esto se traduce en tener activos los pasos 1, 2 y 4 del protocolo. En caso de que lo que se desee es transferir las muestras</w:t>
      </w:r>
      <w:r w:rsidR="00224315">
        <w:t xml:space="preserve"> sin lisar</w:t>
      </w:r>
      <w:r>
        <w:t xml:space="preserve"> a la placa PCR se deberán desactivar estos pasos y activar el paso 3. Sería posible ejecutar el protocolo con todos los pasos activados obteniendo una salida lisada en el </w:t>
      </w:r>
      <w:proofErr w:type="spellStart"/>
      <w:r>
        <w:t>deepwell</w:t>
      </w:r>
      <w:proofErr w:type="spellEnd"/>
      <w:r>
        <w:t xml:space="preserve"> y una salida sin lisar en la placa PCR.</w:t>
      </w:r>
    </w:p>
    <w:p w14:paraId="65E3A51B" w14:textId="47ACE6BB" w:rsidR="00FA343C" w:rsidRDefault="00FA343C">
      <w:r>
        <w:lastRenderedPageBreak/>
        <w:t xml:space="preserve">No es necesario colocar en el </w:t>
      </w:r>
      <w:proofErr w:type="spellStart"/>
      <w:r>
        <w:t>deck</w:t>
      </w:r>
      <w:proofErr w:type="spellEnd"/>
      <w:r>
        <w:t xml:space="preserve"> el fungible que no vaya a ser utilizado.</w:t>
      </w:r>
    </w:p>
    <w:p w14:paraId="0E5071C3" w14:textId="77777777" w:rsidR="00FA343C" w:rsidRDefault="00FA343C"/>
    <w:p w14:paraId="249D316D" w14:textId="1DF96D3D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Variables editables del protocolo</w:t>
      </w:r>
    </w:p>
    <w:p w14:paraId="0859A075" w14:textId="4C680A13" w:rsidR="00F74D08" w:rsidRDefault="00F74D08" w:rsidP="00F74D08">
      <w:pPr>
        <w:pStyle w:val="Prrafodelista"/>
        <w:numPr>
          <w:ilvl w:val="0"/>
          <w:numId w:val="2"/>
        </w:numPr>
      </w:pPr>
      <w:r w:rsidRPr="00F74D08">
        <w:rPr>
          <w:b/>
          <w:bCs/>
        </w:rPr>
        <w:t>NUM_SAMPLES.</w:t>
      </w:r>
      <w:r>
        <w:t xml:space="preserve"> Número de muestras </w:t>
      </w:r>
      <w:r w:rsidR="001936B7">
        <w:t xml:space="preserve">situadas en los </w:t>
      </w:r>
      <w:proofErr w:type="spellStart"/>
      <w:r w:rsidR="001936B7">
        <w:t>tube</w:t>
      </w:r>
      <w:proofErr w:type="spellEnd"/>
      <w:r w:rsidR="001936B7">
        <w:t xml:space="preserve"> racks. El valor máximo es </w:t>
      </w:r>
      <w:r w:rsidR="001936B7" w:rsidRPr="00C9191C">
        <w:rPr>
          <w:i/>
          <w:iCs/>
        </w:rPr>
        <w:t>90</w:t>
      </w:r>
      <w:r w:rsidR="001936B7">
        <w:t>.</w:t>
      </w:r>
    </w:p>
    <w:p w14:paraId="4E5754BE" w14:textId="183D919D" w:rsidR="001936B7" w:rsidRDefault="001936B7" w:rsidP="001936B7">
      <w:pPr>
        <w:pStyle w:val="Prrafodelista"/>
        <w:numPr>
          <w:ilvl w:val="0"/>
          <w:numId w:val="2"/>
        </w:numPr>
      </w:pPr>
      <w:r w:rsidRPr="00F74D08">
        <w:rPr>
          <w:b/>
          <w:bCs/>
        </w:rPr>
        <w:t>NUM_</w:t>
      </w:r>
      <w:r>
        <w:rPr>
          <w:b/>
          <w:bCs/>
        </w:rPr>
        <w:t>POOLS</w:t>
      </w:r>
      <w:r w:rsidRPr="00F74D08">
        <w:rPr>
          <w:b/>
          <w:bCs/>
        </w:rPr>
        <w:t>.</w:t>
      </w:r>
      <w:r>
        <w:t xml:space="preserve"> Número de </w:t>
      </w:r>
      <w:r w:rsidR="00C9191C">
        <w:t xml:space="preserve">veces que se recogerán las muestras de los </w:t>
      </w:r>
      <w:proofErr w:type="spellStart"/>
      <w:r w:rsidR="00C9191C">
        <w:t>tube</w:t>
      </w:r>
      <w:proofErr w:type="spellEnd"/>
      <w:r w:rsidR="00C9191C">
        <w:t xml:space="preserve"> racks con pausas entre cada una de ellas</w:t>
      </w:r>
      <w:r>
        <w:t>.</w:t>
      </w:r>
      <w:r w:rsidR="00C9191C">
        <w:t xml:space="preserve"> El valor para una ejecución sin </w:t>
      </w:r>
      <w:proofErr w:type="spellStart"/>
      <w:r w:rsidR="00C9191C">
        <w:t>pooling</w:t>
      </w:r>
      <w:proofErr w:type="spellEnd"/>
      <w:r w:rsidR="00C9191C">
        <w:t xml:space="preserve"> debe ser </w:t>
      </w:r>
      <w:r w:rsidR="00C9191C" w:rsidRPr="00C9191C">
        <w:rPr>
          <w:i/>
          <w:iCs/>
        </w:rPr>
        <w:t>1</w:t>
      </w:r>
      <w:r w:rsidR="00C9191C">
        <w:t>.</w:t>
      </w:r>
    </w:p>
    <w:p w14:paraId="0D07EB43" w14:textId="52D0CB50" w:rsidR="00C9191C" w:rsidRDefault="00C9191C" w:rsidP="00C9191C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de muestra en </w:t>
      </w:r>
      <w:proofErr w:type="spellStart"/>
      <w:r w:rsidRPr="00FD723C">
        <w:t>μ</w:t>
      </w:r>
      <w:r>
        <w:t>L</w:t>
      </w:r>
      <w:proofErr w:type="spellEnd"/>
      <w:r>
        <w:t xml:space="preserve"> que será transferido de los </w:t>
      </w:r>
      <w:proofErr w:type="spellStart"/>
      <w:r>
        <w:t>tube</w:t>
      </w:r>
      <w:proofErr w:type="spellEnd"/>
      <w:r>
        <w:t xml:space="preserve"> racks a la </w:t>
      </w:r>
      <w:proofErr w:type="spellStart"/>
      <w:r>
        <w:t>deepwell</w:t>
      </w:r>
      <w:proofErr w:type="spellEnd"/>
      <w:r>
        <w:t>.</w:t>
      </w:r>
    </w:p>
    <w:p w14:paraId="2F1493F4" w14:textId="70DAF6F5" w:rsidR="00C9191C" w:rsidRDefault="00C9191C" w:rsidP="00C9191C">
      <w:pPr>
        <w:pStyle w:val="Prrafodelista"/>
        <w:numPr>
          <w:ilvl w:val="0"/>
          <w:numId w:val="2"/>
        </w:numPr>
      </w:pPr>
      <w:r>
        <w:rPr>
          <w:b/>
          <w:bCs/>
        </w:rPr>
        <w:t>LYSIS_VOLUME_PER_SAMPLE.</w:t>
      </w:r>
      <w:r>
        <w:t xml:space="preserve"> Volumen de </w:t>
      </w:r>
      <w:proofErr w:type="spellStart"/>
      <w:r>
        <w:t>Lysis</w:t>
      </w:r>
      <w:proofErr w:type="spellEnd"/>
      <w:r>
        <w:t xml:space="preserve"> en </w:t>
      </w:r>
      <w:proofErr w:type="spellStart"/>
      <w:r w:rsidRPr="00FD723C">
        <w:t>μ</w:t>
      </w:r>
      <w:r>
        <w:t>L</w:t>
      </w:r>
      <w:proofErr w:type="spellEnd"/>
      <w:r>
        <w:t xml:space="preserve"> que será transferido del bote de </w:t>
      </w:r>
      <w:proofErr w:type="spellStart"/>
      <w:r>
        <w:t>Lysis</w:t>
      </w:r>
      <w:proofErr w:type="spellEnd"/>
      <w:r>
        <w:t xml:space="preserve"> (slot 9</w:t>
      </w:r>
      <w:r w:rsidR="00CA563D">
        <w:t xml:space="preserve"> A3</w:t>
      </w:r>
      <w:r>
        <w:t xml:space="preserve">) a cada pocillo del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well</w:t>
      </w:r>
      <w:proofErr w:type="spellEnd"/>
      <w:r>
        <w:t>.</w:t>
      </w:r>
    </w:p>
    <w:p w14:paraId="7C0CEFC8" w14:textId="77A087D7" w:rsidR="000535A5" w:rsidRDefault="000535A5" w:rsidP="00F74D08">
      <w:pPr>
        <w:pStyle w:val="Prrafodelista"/>
        <w:numPr>
          <w:ilvl w:val="0"/>
          <w:numId w:val="2"/>
        </w:numPr>
      </w:pPr>
      <w:r>
        <w:rPr>
          <w:b/>
          <w:bCs/>
        </w:rPr>
        <w:t>NUM_MIXES</w:t>
      </w:r>
      <w:r w:rsidR="00C9191C">
        <w:rPr>
          <w:b/>
          <w:bCs/>
        </w:rPr>
        <w:t>_LYSIS</w:t>
      </w:r>
      <w:r>
        <w:rPr>
          <w:b/>
          <w:bCs/>
        </w:rPr>
        <w:t>.</w:t>
      </w:r>
      <w:r>
        <w:t xml:space="preserve"> Número de mezclados </w:t>
      </w:r>
      <w:r w:rsidR="00C9191C">
        <w:t xml:space="preserve">que se realizarán en el </w:t>
      </w:r>
      <w:proofErr w:type="spellStart"/>
      <w:r w:rsidR="00C9191C">
        <w:t>deepwell</w:t>
      </w:r>
      <w:proofErr w:type="spellEnd"/>
      <w:r w:rsidR="00C9191C">
        <w:t xml:space="preserve"> una vez transferidos el </w:t>
      </w:r>
      <w:proofErr w:type="spellStart"/>
      <w:r w:rsidR="00C9191C">
        <w:t>lysis</w:t>
      </w:r>
      <w:proofErr w:type="spellEnd"/>
      <w:r w:rsidR="00C9191C">
        <w:t xml:space="preserve"> y las muestras.</w:t>
      </w:r>
    </w:p>
    <w:p w14:paraId="64883B4A" w14:textId="707BFB0E" w:rsidR="00C9191C" w:rsidRDefault="00C9191C" w:rsidP="00C9191C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</w:p>
    <w:p w14:paraId="04ABC646" w14:textId="77777777" w:rsidR="002B076A" w:rsidRDefault="002B076A" w:rsidP="002B076A">
      <w:pPr>
        <w:pStyle w:val="Prrafodelista"/>
      </w:pPr>
    </w:p>
    <w:p w14:paraId="2DDD107C" w14:textId="542C98B3" w:rsidR="00F74D08" w:rsidRPr="00C763AF" w:rsidRDefault="00F74D08" w:rsidP="00F74D08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12C870BF" w14:textId="43436E45" w:rsidR="0068716D" w:rsidRPr="0068716D" w:rsidRDefault="0068716D" w:rsidP="0068716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1. </w:t>
      </w:r>
      <w:r w:rsidR="007E2D98">
        <w:rPr>
          <w:b/>
          <w:bCs/>
          <w:i/>
          <w:iCs/>
        </w:rPr>
        <w:t xml:space="preserve">Transferir </w:t>
      </w:r>
      <w:proofErr w:type="spellStart"/>
      <w:r w:rsidR="007E2D98">
        <w:rPr>
          <w:b/>
          <w:bCs/>
          <w:i/>
          <w:iCs/>
        </w:rPr>
        <w:t>Lysis</w:t>
      </w:r>
      <w:proofErr w:type="spellEnd"/>
      <w:r w:rsidR="007E2D98">
        <w:rPr>
          <w:b/>
          <w:bCs/>
          <w:i/>
          <w:iCs/>
        </w:rPr>
        <w:t xml:space="preserve"> al </w:t>
      </w:r>
      <w:proofErr w:type="spellStart"/>
      <w:r w:rsidR="007E2D98">
        <w:rPr>
          <w:b/>
          <w:bCs/>
          <w:i/>
          <w:iCs/>
        </w:rPr>
        <w:t>deepwell</w:t>
      </w:r>
      <w:proofErr w:type="spellEnd"/>
      <w:r w:rsidRPr="0068716D">
        <w:rPr>
          <w:b/>
          <w:bCs/>
          <w:i/>
          <w:iCs/>
        </w:rPr>
        <w:t>.</w:t>
      </w:r>
    </w:p>
    <w:p w14:paraId="66D8C2DE" w14:textId="6362C9FA" w:rsidR="007E2D98" w:rsidRDefault="007E2D98" w:rsidP="0068716D">
      <w:pPr>
        <w:pStyle w:val="Prrafodelista"/>
        <w:numPr>
          <w:ilvl w:val="1"/>
          <w:numId w:val="1"/>
        </w:numPr>
      </w:pPr>
      <w:r>
        <w:t xml:space="preserve">Se recoge 1 punta (1000 </w:t>
      </w:r>
      <w:proofErr w:type="spellStart"/>
      <w:r>
        <w:t>μL</w:t>
      </w:r>
      <w:proofErr w:type="spellEnd"/>
      <w:r>
        <w:t>).</w:t>
      </w:r>
    </w:p>
    <w:p w14:paraId="656E78A4" w14:textId="6A1888C8" w:rsidR="0068716D" w:rsidRDefault="0068716D" w:rsidP="0068716D">
      <w:pPr>
        <w:pStyle w:val="Prrafodelista"/>
        <w:numPr>
          <w:ilvl w:val="1"/>
          <w:numId w:val="1"/>
        </w:numPr>
      </w:pPr>
      <w:r>
        <w:t>Por cada muestra</w:t>
      </w:r>
      <w:r w:rsidR="007E2D98">
        <w:t xml:space="preserve"> (se recoge </w:t>
      </w:r>
      <w:proofErr w:type="spellStart"/>
      <w:r w:rsidR="007E2D98">
        <w:t>Lysis</w:t>
      </w:r>
      <w:proofErr w:type="spellEnd"/>
      <w:r w:rsidR="007E2D98">
        <w:t xml:space="preserve"> suficiente para varias muestras)</w:t>
      </w:r>
      <w:r>
        <w:t xml:space="preserve">: </w:t>
      </w:r>
    </w:p>
    <w:p w14:paraId="38D3A156" w14:textId="02FA6A90" w:rsidR="0068716D" w:rsidRDefault="0068716D" w:rsidP="0068716D">
      <w:pPr>
        <w:pStyle w:val="Prrafodelista"/>
        <w:numPr>
          <w:ilvl w:val="2"/>
          <w:numId w:val="1"/>
        </w:numPr>
      </w:pPr>
      <w:r>
        <w:t xml:space="preserve">Se mueven </w:t>
      </w:r>
      <w:r w:rsidR="00415BD0" w:rsidRPr="00415BD0">
        <w:t>200</w:t>
      </w:r>
      <w:r>
        <w:t xml:space="preserve"> </w:t>
      </w:r>
      <w:proofErr w:type="spellStart"/>
      <w:r w:rsidR="00FD723C" w:rsidRPr="00FD723C">
        <w:t>μ</w:t>
      </w:r>
      <w:r w:rsidR="00FD723C">
        <w:t>L</w:t>
      </w:r>
      <w:proofErr w:type="spellEnd"/>
      <w:r w:rsidR="00F74D08">
        <w:t xml:space="preserve"> del </w:t>
      </w:r>
      <w:r w:rsidR="007E2D98">
        <w:t xml:space="preserve">bote de </w:t>
      </w:r>
      <w:proofErr w:type="spellStart"/>
      <w:r w:rsidR="007E2D98">
        <w:t>Lysis</w:t>
      </w:r>
      <w:proofErr w:type="spellEnd"/>
      <w:r w:rsidR="007E2D98">
        <w:t xml:space="preserve"> </w:t>
      </w:r>
      <w:r>
        <w:t xml:space="preserve">al </w:t>
      </w:r>
      <w:proofErr w:type="spellStart"/>
      <w:r>
        <w:t>deepwell</w:t>
      </w:r>
      <w:proofErr w:type="spellEnd"/>
      <w:r>
        <w:t xml:space="preserve">. </w:t>
      </w:r>
    </w:p>
    <w:p w14:paraId="218FEA45" w14:textId="5BD6CE82" w:rsidR="00667CF2" w:rsidRDefault="0068716D" w:rsidP="007E2D98">
      <w:pPr>
        <w:pStyle w:val="Prrafodelista"/>
        <w:numPr>
          <w:ilvl w:val="1"/>
          <w:numId w:val="1"/>
        </w:numPr>
      </w:pPr>
      <w:r>
        <w:t xml:space="preserve">Se tira </w:t>
      </w:r>
      <w:r w:rsidR="00F74D08">
        <w:t>1</w:t>
      </w:r>
      <w:r>
        <w:t xml:space="preserve"> punta.</w:t>
      </w:r>
    </w:p>
    <w:p w14:paraId="3116B6E7" w14:textId="3192808B" w:rsidR="007E2D98" w:rsidRPr="007E2D98" w:rsidRDefault="007E2D98" w:rsidP="007E2D98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 xml:space="preserve">Transferir muestras al </w:t>
      </w:r>
      <w:proofErr w:type="spellStart"/>
      <w:r>
        <w:rPr>
          <w:b/>
          <w:bCs/>
          <w:i/>
          <w:iCs/>
        </w:rPr>
        <w:t>deepwell</w:t>
      </w:r>
      <w:proofErr w:type="spellEnd"/>
      <w:r w:rsidRPr="0068716D">
        <w:rPr>
          <w:b/>
          <w:bCs/>
          <w:i/>
          <w:iCs/>
        </w:rPr>
        <w:t>.</w:t>
      </w:r>
    </w:p>
    <w:p w14:paraId="275A8673" w14:textId="77777777" w:rsidR="007E2D98" w:rsidRDefault="007E2D98" w:rsidP="007E2D98">
      <w:pPr>
        <w:pStyle w:val="Prrafodelista"/>
        <w:numPr>
          <w:ilvl w:val="1"/>
          <w:numId w:val="1"/>
        </w:numPr>
      </w:pPr>
      <w:r>
        <w:t xml:space="preserve">Por cada muestra: </w:t>
      </w:r>
    </w:p>
    <w:p w14:paraId="1D1DE505" w14:textId="5BE88391" w:rsidR="007E2D98" w:rsidRDefault="007E2D98" w:rsidP="007E2D98">
      <w:pPr>
        <w:pStyle w:val="Prrafodelista"/>
        <w:numPr>
          <w:ilvl w:val="2"/>
          <w:numId w:val="1"/>
        </w:numPr>
      </w:pPr>
      <w:r>
        <w:t xml:space="preserve">Se recoge 1 punta (1000 </w:t>
      </w:r>
      <w:proofErr w:type="spellStart"/>
      <w:r>
        <w:t>μL</w:t>
      </w:r>
      <w:proofErr w:type="spellEnd"/>
      <w:r>
        <w:t>).</w:t>
      </w:r>
    </w:p>
    <w:p w14:paraId="1EE7A39F" w14:textId="77777777" w:rsidR="007E2D98" w:rsidRDefault="007E2D98" w:rsidP="007E2D98">
      <w:pPr>
        <w:pStyle w:val="Prrafodelista"/>
        <w:numPr>
          <w:ilvl w:val="2"/>
          <w:numId w:val="1"/>
        </w:numPr>
      </w:pPr>
      <w:r>
        <w:t xml:space="preserve">Se mueven </w:t>
      </w:r>
      <w:r w:rsidRPr="00415BD0">
        <w:t>200</w:t>
      </w:r>
      <w:r>
        <w:t xml:space="preserve"> </w:t>
      </w:r>
      <w:proofErr w:type="spellStart"/>
      <w:r w:rsidRPr="00FD723C">
        <w:t>μ</w:t>
      </w:r>
      <w:r>
        <w:t>L</w:t>
      </w:r>
      <w:proofErr w:type="spellEnd"/>
      <w:r>
        <w:t xml:space="preserve"> del </w:t>
      </w:r>
      <w:proofErr w:type="spellStart"/>
      <w:r>
        <w:t>tube</w:t>
      </w:r>
      <w:proofErr w:type="spellEnd"/>
      <w:r>
        <w:t xml:space="preserve"> rack al </w:t>
      </w:r>
      <w:proofErr w:type="spellStart"/>
      <w:r>
        <w:t>deepwell</w:t>
      </w:r>
      <w:proofErr w:type="spellEnd"/>
      <w:r>
        <w:t xml:space="preserve">. </w:t>
      </w:r>
    </w:p>
    <w:p w14:paraId="5C5A2AF6" w14:textId="6BBEC4E1" w:rsidR="007E2D98" w:rsidRPr="007E2D98" w:rsidRDefault="007E2D98" w:rsidP="007E2D98">
      <w:pPr>
        <w:pStyle w:val="Prrafodelista"/>
        <w:numPr>
          <w:ilvl w:val="2"/>
          <w:numId w:val="1"/>
        </w:numPr>
      </w:pPr>
      <w:r>
        <w:t>Se tira 1 punta.</w:t>
      </w:r>
    </w:p>
    <w:p w14:paraId="4F73801A" w14:textId="3A5FE5E8" w:rsidR="007E2D98" w:rsidRPr="007E2D98" w:rsidRDefault="007E2D98" w:rsidP="007E2D98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 xml:space="preserve">3 </w:t>
      </w:r>
      <w:r w:rsidRPr="007E2D98">
        <w:rPr>
          <w:b/>
          <w:bCs/>
          <w:i/>
          <w:iCs/>
        </w:rPr>
        <w:t>(Desactivado)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Transferir muestras a la placa PCR</w:t>
      </w:r>
      <w:r w:rsidRPr="0068716D">
        <w:rPr>
          <w:b/>
          <w:bCs/>
          <w:i/>
          <w:iCs/>
        </w:rPr>
        <w:t>.</w:t>
      </w:r>
    </w:p>
    <w:p w14:paraId="065812B7" w14:textId="77777777" w:rsidR="007E2D98" w:rsidRDefault="007E2D98" w:rsidP="007E2D98">
      <w:pPr>
        <w:pStyle w:val="Prrafodelista"/>
        <w:numPr>
          <w:ilvl w:val="1"/>
          <w:numId w:val="1"/>
        </w:numPr>
      </w:pPr>
      <w:r>
        <w:t xml:space="preserve">Por cada muestra: </w:t>
      </w:r>
    </w:p>
    <w:p w14:paraId="5CC7927D" w14:textId="6B33055E" w:rsidR="007E2D98" w:rsidRDefault="007E2D98" w:rsidP="007E2D98">
      <w:pPr>
        <w:pStyle w:val="Prrafodelista"/>
        <w:numPr>
          <w:ilvl w:val="2"/>
          <w:numId w:val="1"/>
        </w:numPr>
      </w:pPr>
      <w:r>
        <w:t xml:space="preserve">Se recoge 1 punta (1000 </w:t>
      </w:r>
      <w:proofErr w:type="spellStart"/>
      <w:r>
        <w:t>μL</w:t>
      </w:r>
      <w:proofErr w:type="spellEnd"/>
      <w:r>
        <w:t>).</w:t>
      </w:r>
    </w:p>
    <w:p w14:paraId="6F4BA6E4" w14:textId="6D2A1254" w:rsidR="007E2D98" w:rsidRDefault="007E2D98" w:rsidP="007E2D98">
      <w:pPr>
        <w:pStyle w:val="Prrafodelista"/>
        <w:numPr>
          <w:ilvl w:val="2"/>
          <w:numId w:val="1"/>
        </w:numPr>
      </w:pPr>
      <w:r>
        <w:t xml:space="preserve">Se mueven </w:t>
      </w:r>
      <w:r w:rsidRPr="00415BD0">
        <w:t>200</w:t>
      </w:r>
      <w:r>
        <w:t xml:space="preserve"> </w:t>
      </w:r>
      <w:proofErr w:type="spellStart"/>
      <w:r w:rsidRPr="00FD723C">
        <w:t>μ</w:t>
      </w:r>
      <w:r>
        <w:t>L</w:t>
      </w:r>
      <w:proofErr w:type="spellEnd"/>
      <w:r>
        <w:t xml:space="preserve"> del </w:t>
      </w:r>
      <w:proofErr w:type="spellStart"/>
      <w:r>
        <w:t>tube</w:t>
      </w:r>
      <w:proofErr w:type="spellEnd"/>
      <w:r>
        <w:t xml:space="preserve"> rack a la placa PCR. </w:t>
      </w:r>
    </w:p>
    <w:p w14:paraId="2A74FB87" w14:textId="0DCB6642" w:rsidR="007E2D98" w:rsidRPr="007E2D98" w:rsidRDefault="007E2D98" w:rsidP="007E2D98">
      <w:pPr>
        <w:pStyle w:val="Prrafodelista"/>
        <w:numPr>
          <w:ilvl w:val="2"/>
          <w:numId w:val="1"/>
        </w:numPr>
      </w:pPr>
      <w:r>
        <w:t>Se tira 1 punta.</w:t>
      </w:r>
    </w:p>
    <w:p w14:paraId="5ABD33E8" w14:textId="4EF115A6" w:rsidR="007E2D98" w:rsidRPr="007E2D98" w:rsidRDefault="007E2D98" w:rsidP="007E2D98">
      <w:pPr>
        <w:pStyle w:val="Prrafodelista"/>
        <w:numPr>
          <w:ilvl w:val="0"/>
          <w:numId w:val="1"/>
        </w:numPr>
        <w:rPr>
          <w:b/>
          <w:bCs/>
        </w:rPr>
      </w:pPr>
      <w:r w:rsidRPr="007E2D98">
        <w:rPr>
          <w:b/>
          <w:bCs/>
        </w:rPr>
        <w:t xml:space="preserve">PASO 4. </w:t>
      </w:r>
      <w:r w:rsidRPr="007E2D98">
        <w:rPr>
          <w:b/>
          <w:bCs/>
          <w:i/>
          <w:iCs/>
        </w:rPr>
        <w:t xml:space="preserve">Mezclar en el </w:t>
      </w:r>
      <w:proofErr w:type="spellStart"/>
      <w:r w:rsidRPr="007E2D98">
        <w:rPr>
          <w:b/>
          <w:bCs/>
          <w:i/>
          <w:iCs/>
        </w:rPr>
        <w:t>deepwell</w:t>
      </w:r>
      <w:proofErr w:type="spellEnd"/>
      <w:r w:rsidRPr="007E2D98">
        <w:rPr>
          <w:b/>
          <w:bCs/>
          <w:i/>
          <w:iCs/>
        </w:rPr>
        <w:t>.</w:t>
      </w:r>
    </w:p>
    <w:p w14:paraId="4AE90A2E" w14:textId="77777777" w:rsidR="007E2D98" w:rsidRDefault="007E2D98" w:rsidP="007E2D98">
      <w:pPr>
        <w:pStyle w:val="Prrafodelista"/>
        <w:numPr>
          <w:ilvl w:val="1"/>
          <w:numId w:val="1"/>
        </w:numPr>
      </w:pPr>
      <w:r w:rsidRPr="007E2D98">
        <w:t>Por cada columna (8 muestras):</w:t>
      </w:r>
    </w:p>
    <w:p w14:paraId="2CA85C32" w14:textId="77777777" w:rsidR="007E2D98" w:rsidRDefault="007E2D98" w:rsidP="007E2D98">
      <w:pPr>
        <w:pStyle w:val="Prrafodelista"/>
        <w:numPr>
          <w:ilvl w:val="2"/>
          <w:numId w:val="1"/>
        </w:numPr>
      </w:pPr>
      <w:r>
        <w:t xml:space="preserve">Se recogen 8 puntas (200 </w:t>
      </w:r>
      <w:proofErr w:type="spellStart"/>
      <w:r>
        <w:t>μL</w:t>
      </w:r>
      <w:proofErr w:type="spellEnd"/>
      <w:r>
        <w:t>).</w:t>
      </w:r>
    </w:p>
    <w:p w14:paraId="11D86FD4" w14:textId="55E9ED58" w:rsidR="007E2D98" w:rsidRDefault="007E2D98" w:rsidP="007E2D98">
      <w:pPr>
        <w:pStyle w:val="Prrafodelista"/>
        <w:numPr>
          <w:ilvl w:val="2"/>
          <w:numId w:val="1"/>
        </w:numPr>
      </w:pPr>
      <w:r>
        <w:t>Se resuspenden 500</w:t>
      </w:r>
      <w:r w:rsidRPr="007E2D98">
        <w:t xml:space="preserve"> </w:t>
      </w:r>
      <w:proofErr w:type="spellStart"/>
      <w:r w:rsidRPr="00FD723C">
        <w:t>μ</w:t>
      </w:r>
      <w:r>
        <w:t>L</w:t>
      </w:r>
      <w:proofErr w:type="spellEnd"/>
      <w:r>
        <w:t xml:space="preserve"> en el </w:t>
      </w:r>
      <w:proofErr w:type="spellStart"/>
      <w:r>
        <w:t>deepwell</w:t>
      </w:r>
      <w:proofErr w:type="spellEnd"/>
      <w:r>
        <w:t xml:space="preserve"> 3</w:t>
      </w:r>
      <w:r w:rsidR="00957CE5">
        <w:t xml:space="preserve"> veces.</w:t>
      </w:r>
    </w:p>
    <w:p w14:paraId="0A4334F2" w14:textId="356384B9" w:rsidR="00957CE5" w:rsidRPr="007E2D98" w:rsidRDefault="00957CE5" w:rsidP="007E2D98">
      <w:pPr>
        <w:pStyle w:val="Prrafodelista"/>
        <w:numPr>
          <w:ilvl w:val="2"/>
          <w:numId w:val="1"/>
        </w:numPr>
      </w:pPr>
      <w:r>
        <w:t>Se tiran las 8 puntas.</w:t>
      </w:r>
    </w:p>
    <w:sectPr w:rsidR="00957CE5" w:rsidRPr="007E2D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B0F94" w14:textId="77777777" w:rsidR="008C2063" w:rsidRDefault="008C2063" w:rsidP="00600A19">
      <w:pPr>
        <w:spacing w:after="0" w:line="240" w:lineRule="auto"/>
      </w:pPr>
      <w:r>
        <w:separator/>
      </w:r>
    </w:p>
  </w:endnote>
  <w:endnote w:type="continuationSeparator" w:id="0">
    <w:p w14:paraId="4A1DA6D6" w14:textId="77777777" w:rsidR="008C2063" w:rsidRDefault="008C2063" w:rsidP="0060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8AE71" w14:textId="77777777" w:rsidR="008C2063" w:rsidRDefault="008C2063" w:rsidP="00600A19">
      <w:pPr>
        <w:spacing w:after="0" w:line="240" w:lineRule="auto"/>
      </w:pPr>
      <w:r>
        <w:separator/>
      </w:r>
    </w:p>
  </w:footnote>
  <w:footnote w:type="continuationSeparator" w:id="0">
    <w:p w14:paraId="782E5C6B" w14:textId="77777777" w:rsidR="008C2063" w:rsidRDefault="008C2063" w:rsidP="0060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535A5"/>
    <w:rsid w:val="000540DD"/>
    <w:rsid w:val="001936B7"/>
    <w:rsid w:val="00224315"/>
    <w:rsid w:val="00242026"/>
    <w:rsid w:val="00266154"/>
    <w:rsid w:val="002B076A"/>
    <w:rsid w:val="003A2317"/>
    <w:rsid w:val="00415BD0"/>
    <w:rsid w:val="004B0F36"/>
    <w:rsid w:val="00600A19"/>
    <w:rsid w:val="0060212C"/>
    <w:rsid w:val="00667CF2"/>
    <w:rsid w:val="0068716D"/>
    <w:rsid w:val="007E2D98"/>
    <w:rsid w:val="008360FD"/>
    <w:rsid w:val="008C2063"/>
    <w:rsid w:val="008C218F"/>
    <w:rsid w:val="008F6777"/>
    <w:rsid w:val="00957CE5"/>
    <w:rsid w:val="00A9310B"/>
    <w:rsid w:val="00AE3C53"/>
    <w:rsid w:val="00C13345"/>
    <w:rsid w:val="00C763AF"/>
    <w:rsid w:val="00C9191C"/>
    <w:rsid w:val="00CA563D"/>
    <w:rsid w:val="00DE4231"/>
    <w:rsid w:val="00E91486"/>
    <w:rsid w:val="00F74D08"/>
    <w:rsid w:val="00FA343C"/>
    <w:rsid w:val="00FD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00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0A19"/>
  </w:style>
  <w:style w:type="paragraph" w:styleId="Piedepgina">
    <w:name w:val="footer"/>
    <w:basedOn w:val="Normal"/>
    <w:link w:val="PiedepginaCar"/>
    <w:uiPriority w:val="99"/>
    <w:unhideWhenUsed/>
    <w:rsid w:val="00600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0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3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21</cp:revision>
  <dcterms:created xsi:type="dcterms:W3CDTF">2020-06-08T07:35:00Z</dcterms:created>
  <dcterms:modified xsi:type="dcterms:W3CDTF">2020-08-11T07:48:00Z</dcterms:modified>
</cp:coreProperties>
</file>