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17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28.11.22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Тема работы: </w:t>
      </w:r>
      <w:r w:rsidRPr="00583FD1">
        <w:rPr>
          <w:rFonts w:asciiTheme="minorHAnsi" w:hAnsiTheme="minorHAnsi" w:cstheme="minorHAnsi"/>
          <w:color w:val="000000"/>
          <w:sz w:val="28"/>
          <w:szCs w:val="28"/>
        </w:rPr>
        <w:t>«Проектирование интерфейса разрабатываемого программного продукта. Создание макета»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lastRenderedPageBreak/>
        <w:t>Авторизация: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2A505816" wp14:editId="07D76314">
            <wp:extent cx="5144218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Тестирование: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3568E1EA" wp14:editId="47FFFF85">
            <wp:extent cx="5940425" cy="3663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41E3CF5D" wp14:editId="1898277C">
            <wp:extent cx="5940425" cy="3663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Создание теста: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EE36141" wp14:editId="4416AB18">
            <wp:extent cx="5834963" cy="3650673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014" cy="36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noProof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DD8F342" wp14:editId="66F9112D">
            <wp:extent cx="3535680" cy="2218918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661" cy="22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F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FA911F0" wp14:editId="442209B7">
            <wp:extent cx="5715000" cy="356706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865" cy="36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Ответы на вопросы: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583FD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Интерфейс – это комплекс средств, предназначенных для взаимодействия двух систем друг с другом. В качестве таких систем может выступать что угодно, включая людей и искусственный интеллект.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Командная строка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Графический и текстовый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Жестовый, голосовой, тактильный и нейронный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Программный, аппаратный, аппаратно-программный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Пользовательский интерфейс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Веб, игровой сайт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Материальный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Интерфейс в телефонах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Навигация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Выбор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Операции </w:t>
      </w:r>
      <w:r w:rsidRPr="00583FD1">
        <w:rPr>
          <w:rFonts w:asciiTheme="minorHAnsi" w:hAnsiTheme="minorHAnsi" w:cstheme="minorHAnsi"/>
          <w:color w:val="000000"/>
          <w:sz w:val="28"/>
          <w:szCs w:val="28"/>
        </w:rPr>
        <w:t>Просмотра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Операции Редактирования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Транзакции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С пользователем. Разработчиками интерфейсов предусмотрены 4 основных стилей взаимодействия пользователя с системой: 1. Непосредственное манипулирование. 2. Выбор из меню. 3. Заполнение форм. 4. Командный язык.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311"/>
        <w:gridCol w:w="2298"/>
        <w:gridCol w:w="2271"/>
      </w:tblGrid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Стиль 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Основные преимущества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Основные недостатки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Примеры приложений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Прямое манипулирование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Быстрое и интуитивно понятное взаимодействие.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Сложная реализация. Подходит только там, где есть зрительный образ задач и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Видеоигры, системы автоматического проектирования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Выбор из 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Сокращение количества ошибок пользователя. Минимальный ввод с клавиатуры.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Медленный вариант для опытных пользователей. Может быть сложным, если меню состоит из большого количества вложенных пунктов.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Главным образом системы общего назначения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Заполнение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Простой ввод данных.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Занимает пространство на экране.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Системы управления запасами, обработка финансовой информации.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Командный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Мощный и гибкий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 xml:space="preserve">Труден в изучени. Сложно </w:t>
            </w: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предотвратить ошибки ввода.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ОС, библиотечный системы.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Естественный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Подходит неопытным пользователям. Легко настраивается.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Требует большого ручного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Системы расписания, системы хранения данных WWW</w:t>
            </w:r>
          </w:p>
        </w:tc>
      </w:tr>
    </w:tbl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Белый текст на черном или наоборот.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Справочная система</w:t>
      </w:r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предназначена для получения пользователем максимально точной (</w:t>
      </w:r>
      <w:hyperlink r:id="rId11" w:tooltip="Релевантность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релевантной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информации по интересующей его/её (и ограниченной </w:t>
      </w:r>
      <w:r w:rsidRPr="00583FD1">
        <w:rPr>
          <w:rFonts w:asciiTheme="minorHAnsi" w:hAnsiTheme="minorHAnsi" w:cstheme="minorHAnsi"/>
          <w:iCs/>
          <w:color w:val="000000" w:themeColor="text1"/>
          <w:sz w:val="28"/>
          <w:szCs w:val="28"/>
          <w:shd w:val="clear" w:color="auto" w:fill="FFFFFF"/>
        </w:rPr>
        <w:t>базой статей</w:t>
      </w:r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теме. Обычно выбор статьи происходит по иерархии разделов справки. Справочные системы часто комбинируются с </w:t>
      </w:r>
      <w:hyperlink r:id="rId12" w:tooltip="Поисковая система" w:history="1">
        <w:r w:rsidRPr="00583FD1">
          <w:rPr>
            <w:rStyle w:val="a6"/>
            <w:rFonts w:asciiTheme="minorHAnsi" w:hAnsiTheme="minorHAnsi" w:cstheme="minorHAnsi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поисковыми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где выборка </w:t>
      </w:r>
      <w:hyperlink r:id="rId13" w:tooltip="Релевантность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релевантных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статей определяется по заданным ключевым словам или (при </w:t>
      </w:r>
      <w:hyperlink r:id="rId14" w:tooltip="Полнотекстовый поиск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полнотекстовом поиске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частью предложения.</w:t>
      </w:r>
    </w:p>
    <w:p w:rsidR="00FA4407" w:rsidRPr="00583FD1" w:rsidRDefault="00583FD1" w:rsidP="00FA4407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Существует четыре основных критерия качества любого интерфейса, а именно: скорость работы пользователей, количество человеческих ошибок, скорость обучения и субъективное удовлетворение пользователей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391930" w:rsidRPr="00583FD1" w:rsidRDefault="00391930">
      <w:pPr>
        <w:rPr>
          <w:rFonts w:cstheme="minorHAnsi"/>
          <w:sz w:val="28"/>
          <w:szCs w:val="28"/>
        </w:rPr>
      </w:pPr>
    </w:p>
    <w:sectPr w:rsidR="00391930" w:rsidRPr="0058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1F27"/>
    <w:multiLevelType w:val="hybridMultilevel"/>
    <w:tmpl w:val="E842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45E"/>
    <w:multiLevelType w:val="hybridMultilevel"/>
    <w:tmpl w:val="912E0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C51"/>
    <w:multiLevelType w:val="hybridMultilevel"/>
    <w:tmpl w:val="2E76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170"/>
    <w:multiLevelType w:val="hybridMultilevel"/>
    <w:tmpl w:val="3DC2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42"/>
    <w:rsid w:val="000A69D7"/>
    <w:rsid w:val="00391930"/>
    <w:rsid w:val="00566342"/>
    <w:rsid w:val="00583FD1"/>
    <w:rsid w:val="00696865"/>
    <w:rsid w:val="009D5513"/>
    <w:rsid w:val="00A26E2B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CAB5"/>
  <w15:chartTrackingRefBased/>
  <w15:docId w15:val="{578422D3-7F86-4F21-9B53-851882C7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407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A26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A4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E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archkey">
    <w:name w:val="search_key"/>
    <w:basedOn w:val="a0"/>
    <w:rsid w:val="00A26E2B"/>
  </w:style>
  <w:style w:type="paragraph" w:styleId="a3">
    <w:name w:val="Normal (Web)"/>
    <w:basedOn w:val="a"/>
    <w:uiPriority w:val="99"/>
    <w:unhideWhenUsed/>
    <w:rsid w:val="00FA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4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4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440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8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0%D0%B5%D0%BB%D0%B5%D0%B2%D0%B0%D0%BD%D1%82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0%BE%D0%B8%D1%81%D0%BA%D0%BE%D0%B2%D0%B0%D1%8F_%D1%81%D0%B8%D1%81%D1%82%D0%B5%D0%BC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0%D0%B5%D0%BB%D0%B5%D0%B2%D0%B0%D0%BD%D1%82%D0%BD%D0%BE%D1%81%D1%82%D1%8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0%BE%D0%BB%D0%BD%D0%BE%D1%82%D0%B5%D0%BA%D1%81%D1%82%D0%BE%D0%B2%D1%8B%D0%B9_%D0%BF%D0%BE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2022-11-25T07:56:00Z</dcterms:created>
  <dcterms:modified xsi:type="dcterms:W3CDTF">2022-12-16T07:39:00Z</dcterms:modified>
</cp:coreProperties>
</file>