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7 Game Design Workbook</w:t>
      </w:r>
    </w:p>
    <w:p>
      <w:r>
        <w:rPr>
          <w:b/>
          <w:sz w:val="28"/>
        </w:rPr>
        <w:t>Characters and changing states</w:t>
      </w:r>
    </w:p>
    <w:p>
      <w:r>
        <w:rPr>
          <w:b w:val="0"/>
        </w:rPr>
        <w:t>Track how one character or object changes state. Make those changes visible to the player.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Which belief drives your main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setting challenge that belief?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event forces a decision?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Which character wants a different outcome?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action changes their relationship?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ending reflect that relationship?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Map cautious, ally, and departed states. Label the action that changes each state.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Talk to the guide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Trust is at least 2?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Set guide state to ally and unlock a route</w:t>
      </w:r>
    </w:p>
    <w:p>
      <w:pPr>
        <w:keepNext/>
        <w:spacing w:after="100"/>
      </w:pPr>
      <w:r>
        <w:rPr>
          <w:b/>
          <w:sz w:val="22"/>
        </w:rPr>
        <w:t>NO  → Keep guide cautious and offer a trust task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Test trust below, at, and above 2. Talk again after the guide becomes an ally.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7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7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