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Kindergarten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Draw, point, or tell a helper. Your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are they a hero, friend, or troublemaker?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Who is your hero?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this character want and what gets in the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special thing can they do and when do they need help?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a happy face and a surprised face for your character.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Meet a friend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Friend looks sad?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Offer a hug</w:t>
      </w:r>
    </w:p>
    <w:p>
      <w:pPr>
        <w:keepNext/>
        <w:spacing w:after="100"/>
      </w:pPr>
      <w:r>
        <w:rPr>
          <w:b/>
          <w:sz w:val="22"/>
        </w:rPr>
        <w:t>NO  → Wave hello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as your character. Try the YES and NO paths. Ask your tester what the character wants.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Kindergarten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Kindergarten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