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b w:val="0"/>
          <w:bCs w:val="0"/>
          <w:sz w:val="24"/>
          <w:szCs w:val="24"/>
          <w:u w:val="none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9"/>
          <w:szCs w:val="29"/>
          <w:u w:val="single"/>
          <w:shd w:val="clear" w:color="auto" w:fill="ffffff"/>
          <w:rtl w:val="0"/>
          <w:lang w:val="en-US"/>
        </w:rPr>
        <w:t>Use Cases for ABC Bank Online Banking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3"/>
        <w:gridCol w:w="1399"/>
        <w:gridCol w:w="1398"/>
        <w:gridCol w:w="2015"/>
        <w:gridCol w:w="2855"/>
      </w:tblGrid>
      <w:tr>
        <w:tblPrEx>
          <w:shd w:val="clear" w:color="auto" w:fill="auto"/>
        </w:tblPrEx>
        <w:trPr>
          <w:trHeight w:val="710" w:hRule="atLeast"/>
        </w:trPr>
        <w:tc>
          <w:tcPr>
            <w:tcW w:type="dxa" w:w="1693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Use Case ID</w:t>
            </w:r>
          </w:p>
        </w:tc>
        <w:tc>
          <w:tcPr>
            <w:tcW w:type="dxa" w:w="7666"/>
            <w:gridSpan w:val="4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rtl w:val="0"/>
              </w:rPr>
              <w:t>UC 1</w:t>
            </w:r>
          </w:p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1693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Use Case Name</w:t>
            </w:r>
          </w:p>
        </w:tc>
        <w:tc>
          <w:tcPr>
            <w:tcW w:type="dxa" w:w="7666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rtl w:val="0"/>
              </w:rPr>
              <w:t>Account Holder online Bill Payments</w:t>
            </w:r>
          </w:p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1693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Created By</w:t>
            </w:r>
          </w:p>
        </w:tc>
        <w:tc>
          <w:tcPr>
            <w:tcW w:type="dxa" w:w="279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rtl w:val="0"/>
              </w:rPr>
              <w:t>Anurag Reddy</w:t>
            </w:r>
          </w:p>
        </w:tc>
        <w:tc>
          <w:tcPr>
            <w:tcW w:type="dxa" w:w="2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Last Updated By</w:t>
            </w:r>
          </w:p>
        </w:tc>
        <w:tc>
          <w:tcPr>
            <w:tcW w:type="dxa" w:w="28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rtl w:val="0"/>
              </w:rPr>
              <w:t>Akhil Reddy</w:t>
            </w:r>
          </w:p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1693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Date Created</w:t>
            </w:r>
          </w:p>
        </w:tc>
        <w:tc>
          <w:tcPr>
            <w:tcW w:type="dxa" w:w="279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rtl w:val="0"/>
              </w:rPr>
              <w:t>06/26/2019</w:t>
            </w:r>
          </w:p>
        </w:tc>
        <w:tc>
          <w:tcPr>
            <w:tcW w:type="dxa" w:w="2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Last Revision Date</w:t>
            </w:r>
          </w:p>
        </w:tc>
        <w:tc>
          <w:tcPr>
            <w:tcW w:type="dxa" w:w="28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d9d9d9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rtl w:val="0"/>
              </w:rPr>
              <w:t>06/28/2019</w:t>
            </w:r>
          </w:p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Actors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1. Customer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2. Ministry of Finance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 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3. Government Departments</w:t>
            </w:r>
          </w:p>
        </w:tc>
      </w:tr>
      <w:tr>
        <w:tblPrEx>
          <w:shd w:val="clear" w:color="auto" w:fill="auto"/>
        </w:tblPrEx>
        <w:trPr>
          <w:trHeight w:val="172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Description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</w:rPr>
              <w:t>ABC Bank is designing an online banking provision for its account holders where it provides the user to pay bill payments for any type of loans and other billing payments.</w:t>
            </w:r>
          </w:p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Trigger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</w:rPr>
              <w:t>The users need to pay certain bills on time.</w:t>
            </w:r>
          </w:p>
        </w:tc>
      </w:tr>
      <w:tr>
        <w:tblPrEx>
          <w:shd w:val="clear" w:color="auto" w:fill="auto"/>
        </w:tblPrEx>
        <w:trPr>
          <w:trHeight w:val="206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Pre-conditions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1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The User shall have a valid account number for paying the bills.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The User shall think about a Username, password, and how he/she will pay for the bill payments.</w:t>
            </w:r>
          </w:p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Post-conditions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2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The user shall have received a confirmation text/email confirming the payment details.</w:t>
            </w:r>
          </w:p>
        </w:tc>
      </w:tr>
      <w:tr>
        <w:tblPrEx>
          <w:shd w:val="clear" w:color="auto" w:fill="auto"/>
        </w:tblPrEx>
        <w:trPr>
          <w:trHeight w:val="274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Assumptions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rtl w:val="0"/>
                <w:lang w:val="en-US"/>
              </w:rPr>
              <w:t>Customer has the money to pay the bill payments.</w:t>
            </w:r>
            <w:r>
              <w:rPr>
                <w:rFonts w:ascii="Helvetica" w:cs="Helvetica" w:hAnsi="Helvetica" w:eastAsia="Helvetica"/>
                <w:sz w:val="29"/>
                <w:szCs w:val="29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rtl w:val="0"/>
                <w:lang w:val="en-US"/>
              </w:rPr>
              <w:t>Customer is computer literate and knows how to navigate the internet.</w:t>
            </w:r>
            <w:r>
              <w:rPr>
                <w:rFonts w:ascii="Helvetica" w:hAnsi="Helvetica" w:hint="default"/>
                <w:sz w:val="29"/>
                <w:szCs w:val="29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rtl w:val="0"/>
                <w:lang w:val="en-US"/>
              </w:rPr>
              <w:t>Customer will have his/her credit card or debit card ready to pay for the bills.</w:t>
            </w:r>
          </w:p>
        </w:tc>
      </w:tr>
      <w:tr>
        <w:tblPrEx>
          <w:shd w:val="clear" w:color="auto" w:fill="auto"/>
        </w:tblPrEx>
        <w:trPr>
          <w:trHeight w:val="648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Normal Flow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open the webpage.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select pay bill button.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enter username and password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enter his/her Account number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enter payment details.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check if he/she has sufficient funds available.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enter payment date.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click submit.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logout of page.</w:t>
            </w:r>
          </w:p>
        </w:tc>
      </w:tr>
      <w:tr>
        <w:tblPrEx>
          <w:shd w:val="clear" w:color="auto" w:fill="auto"/>
        </w:tblPrEx>
        <w:trPr>
          <w:trHeight w:val="512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Alternative Flows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5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If Step 3 fails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1.1 Enter the name again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If step 4 fails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2.1 Enter the account number again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If Step 5 fails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1"/>
                <w:numId w:val="7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enter payment details again or call for help.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If Step 6 fails</w:t>
            </w:r>
            <w:r>
              <w:rPr>
                <w:rFonts w:ascii="Helvetica" w:cs="Helvetica" w:hAnsi="Helvetica" w:eastAsia="Helvetica"/>
                <w:sz w:val="29"/>
                <w:szCs w:val="29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4.1 User shall check his/her bank account for necessary funds details.</w:t>
            </w:r>
          </w:p>
        </w:tc>
      </w:tr>
      <w:tr>
        <w:tblPrEx>
          <w:shd w:val="clear" w:color="auto" w:fill="auto"/>
        </w:tblPrEx>
        <w:trPr>
          <w:trHeight w:val="308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Exceptions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9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facing network issues online.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The portal for online bill payments has a server error.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Current or electricity outage.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 </w:t>
              <w:br w:type="textWrapping"/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’</w:t>
            </w: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s payment transaction not processing.</w:t>
            </w:r>
          </w:p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Frequency of Use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10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Once during the account setup/ every cycle of bill payments, for example once every month.</w:t>
            </w:r>
          </w:p>
        </w:tc>
      </w:tr>
      <w:tr>
        <w:tblPrEx>
          <w:shd w:val="clear" w:color="auto" w:fill="auto"/>
        </w:tblPrEx>
        <w:trPr>
          <w:trHeight w:val="2070" w:hRule="atLeast"/>
        </w:trPr>
        <w:tc>
          <w:tcPr>
            <w:tcW w:type="dxa" w:w="3092"/>
            <w:gridSpan w:val="2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9"/>
                <w:szCs w:val="29"/>
                <w:rtl w:val="0"/>
              </w:rPr>
              <w:t>Special Requirements</w:t>
            </w:r>
          </w:p>
        </w:tc>
        <w:tc>
          <w:tcPr>
            <w:tcW w:type="dxa" w:w="626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numPr>
                <w:ilvl w:val="0"/>
                <w:numId w:val="11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</w:t>
            </w: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r</w:t>
            </w: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 xml:space="preserve"> shall be given several ways to pay the certain bill payments such as with credit card, paypal, etc.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spacing w:line="340" w:lineRule="atLeast"/>
              <w:ind w:right="0"/>
              <w:jc w:val="both"/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</w:pPr>
            <w:r>
              <w:rPr>
                <w:rFonts w:ascii="Helvetica" w:hAnsi="Helvetica"/>
                <w:sz w:val="29"/>
                <w:szCs w:val="29"/>
                <w:shd w:val="clear" w:color="auto" w:fill="ffffff"/>
                <w:rtl w:val="0"/>
                <w:lang w:val="en-US"/>
              </w:rPr>
              <w:t>User shall be given the opportunity to create new registration for online bill payments.</w:t>
            </w:r>
          </w:p>
        </w:tc>
      </w:tr>
    </w:tbl>
    <w:p>
      <w:pPr>
        <w:pStyle w:val="Default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both"/>
        <w:rPr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nothing"/>
      <w:lvlText w:val="%1.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