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left"/>
      </w:pPr>
      <w:r>
        <w:rPr>
          <w:rFonts w:ascii="Aptos Display" w:hAnsi="Aptos Display"/>
          <w:b/>
          <w:color w:val="7C5CFF"/>
          <w:sz w:val="28"/>
        </w:rPr>
        <w:t>TECHMART AI</w:t>
      </w:r>
    </w:p>
    <w:p>
      <w:pPr>
        <w:pStyle w:val="Title"/>
        <w:spacing w:before="160" w:after="160"/>
      </w:pPr>
      <w:r>
        <w:t>Dashboard Redesign</w:t>
        <w:br/>
        <w:t>&amp; UX Improvement Brief</w:t>
      </w:r>
    </w:p>
    <w:p>
      <w:pPr>
        <w:spacing w:after="360"/>
      </w:pPr>
      <w:r>
        <w:rPr>
          <w:color w:val="5F697A"/>
          <w:sz w:val="26"/>
        </w:rPr>
        <w:t>Implementation-ready specification for Antigravity</w:t>
      </w:r>
    </w:p>
    <w:tbl>
      <w:tblPr>
        <w:tblW w:type="auto" w:w="0"/>
        <w:jc w:val="left"/>
        <w:tblLook w:firstColumn="1" w:firstRow="1" w:lastColumn="0" w:lastRow="0" w:noHBand="0" w:noVBand="1" w:val="04A0"/>
      </w:tblPr>
      <w:tblGrid>
        <w:gridCol w:w="9936"/>
      </w:tblGrid>
      <w:tr>
        <w:tc>
          <w:tcPr>
            <w:tcW w:type="dxa" w:w="9936"/>
            <w:shd w:fill="F2F0FF"/>
          </w:tcPr>
          <w:p>
            <w:pPr>
              <w:spacing w:after="80"/>
            </w:pPr>
            <w:r/>
            <w:r>
              <w:rPr>
                <w:b/>
                <w:color w:val="5B45BE"/>
                <w:sz w:val="18"/>
              </w:rPr>
              <w:t>PRIMARY GOAL</w:t>
            </w:r>
          </w:p>
          <w:p>
            <w:pPr>
              <w:spacing w:after="40"/>
            </w:pPr>
            <w:r>
              <w:t>Refine the existing TechMart AI Support Agent dashboard into a polished, professional, responsive SaaS interface. Keep the current dark visual identity, but improve hierarchy, readability, spacing, and task-focused workflows. Preserve existing integrations and working features.</w:t>
            </w:r>
          </w:p>
        </w:tc>
      </w:tr>
    </w:tbl>
    <w:p/>
    <w:p>
      <w:pPr>
        <w:pStyle w:val="Heading1"/>
      </w:pPr>
      <w:r>
        <w:t>1. Product Context</w:t>
      </w:r>
    </w:p>
    <w:p>
      <w:r>
        <w:t>TechMart AI is an AI-powered support and sales assistant for an e-commerce business. The interface currently includes a chat assistant, live product catalog, order/refund management, company policy grounding from a Word document, Google Sheets synchronization, and a technical sidebar.</w:t>
      </w:r>
    </w:p>
    <w:p>
      <w:pPr>
        <w:pStyle w:val="ListBullet"/>
        <w:spacing w:after="40"/>
      </w:pPr>
      <w:r>
        <w:t>Primary user goal: quickly ask questions, find products, place or track orders, and understand return/refund eligibility.</w:t>
      </w:r>
    </w:p>
    <w:p>
      <w:pPr>
        <w:pStyle w:val="ListBullet"/>
        <w:spacing w:after="40"/>
      </w:pPr>
      <w:r>
        <w:t>Primary interface priority: the chat experience and customer tasks should be the visual focus.</w:t>
      </w:r>
    </w:p>
    <w:p>
      <w:pPr>
        <w:pStyle w:val="ListBullet"/>
        <w:spacing w:after="40"/>
      </w:pPr>
      <w:r>
        <w:t>Technical architecture details should not dominate the customer-facing interface.</w:t>
      </w:r>
    </w:p>
    <w:p>
      <w:pPr>
        <w:pStyle w:val="ListBullet"/>
        <w:spacing w:after="40"/>
      </w:pPr>
      <w:r>
        <w:t>Treat all displayed counts and connection statuses as real data; do not hardcode values or show false live states.</w:t>
      </w:r>
    </w:p>
    <w:p>
      <w:pPr>
        <w:pStyle w:val="Heading1"/>
      </w:pPr>
      <w:r>
        <w:t>2. Core Design Direction</w:t>
      </w:r>
    </w:p>
    <w:p>
      <w:pPr>
        <w:pStyle w:val="ListBullet"/>
        <w:spacing w:after="40"/>
      </w:pPr>
      <w:r>
        <w:t>Keep the existing dark navy/charcoal theme and purple accent as the main visual identity.</w:t>
      </w:r>
    </w:p>
    <w:p>
      <w:pPr>
        <w:pStyle w:val="ListBullet"/>
        <w:spacing w:after="40"/>
      </w:pPr>
      <w:r>
        <w:t>Reduce the use of gradients. Reserve the purple-to-pink gradient for the primary CTA or a small brand accent only.</w:t>
      </w:r>
    </w:p>
    <w:p>
      <w:pPr>
        <w:pStyle w:val="ListBullet"/>
        <w:spacing w:after="40"/>
      </w:pPr>
      <w:r>
        <w:t>Use consistent spacing, alignment, border radius, typography, and component sizing throughout the app.</w:t>
      </w:r>
    </w:p>
    <w:p>
      <w:pPr>
        <w:pStyle w:val="ListBullet"/>
        <w:spacing w:after="40"/>
      </w:pPr>
      <w:r>
        <w:t>Create a clean enterprise SaaS look: calm, focused, readable, and less crowded.</w:t>
      </w:r>
    </w:p>
    <w:p>
      <w:pPr>
        <w:pStyle w:val="ListBullet"/>
        <w:spacing w:after="40"/>
      </w:pPr>
      <w:r>
        <w:t>Use clear visual hierarchy: page/navigation first, primary task area second, supporting system information last.</w:t>
      </w:r>
    </w:p>
    <w:p>
      <w:pPr>
        <w:pStyle w:val="ListBullet"/>
        <w:spacing w:after="40"/>
      </w:pPr>
      <w:r>
        <w:t>Avoid decorative cards, badges, borders, and labels that do not help users complete a task.</w:t>
      </w:r>
    </w:p>
    <w:p>
      <w:pPr>
        <w:pStyle w:val="Heading1"/>
      </w:pPr>
      <w:r>
        <w:t>3. Changes to Make</w:t>
      </w:r>
    </w:p>
    <w:p>
      <w:pPr>
        <w:pStyle w:val="Heading2"/>
      </w:pPr>
      <w:r>
        <w:t>3.1 Header and Status Indicators</w:t>
      </w:r>
    </w:p>
    <w:p>
      <w:pPr>
        <w:pStyle w:val="ListBullet"/>
        <w:spacing w:after="40"/>
      </w:pPr>
      <w:r>
        <w:t>Keep a compact brand area with the TechMart AI name and a short subtitle such as 'Customer Support Assistant'.</w:t>
      </w:r>
    </w:p>
    <w:p>
      <w:pPr>
        <w:pStyle w:val="ListBullet"/>
        <w:spacing w:after="40"/>
      </w:pPr>
      <w:r>
        <w:t>Simplify the current header badges: Google Sheets Live, policy.docx Grounded, and Gemini model information currently compete for attention.</w:t>
      </w:r>
    </w:p>
    <w:p>
      <w:pPr>
        <w:pStyle w:val="ListBullet"/>
        <w:spacing w:after="40"/>
      </w:pPr>
      <w:r>
        <w:t>Show compact status indicators for the services that matter to users, e.g. 'Data connected' and 'Policy source ready'.</w:t>
      </w:r>
    </w:p>
    <w:p>
      <w:pPr>
        <w:pStyle w:val="ListBullet"/>
        <w:spacing w:after="40"/>
      </w:pPr>
      <w:r>
        <w:t>Move model/version details such as Gemini 2.0 Flash into an About, Settings, or Developer section unless the model identity is required for the demo.</w:t>
      </w:r>
    </w:p>
    <w:p>
      <w:pPr>
        <w:pStyle w:val="ListBullet"/>
        <w:spacing w:after="40"/>
      </w:pPr>
      <w:r>
        <w:t>Do not display 'Live' or 'Connected' unless the app has verified the current connection.</w:t>
      </w:r>
    </w:p>
    <w:p>
      <w:pPr>
        <w:pStyle w:val="Heading2"/>
      </w:pPr>
      <w:r>
        <w:t>3.2 Primary Navigation</w:t>
      </w:r>
    </w:p>
    <w:p>
      <w:pPr>
        <w:pStyle w:val="ListBullet"/>
        <w:spacing w:after="40"/>
      </w:pPr>
      <w:r>
        <w:t>Keep the main sections: AI Support Agent, Product Catalog, Orders &amp; Refunds, and Company Policies.</w:t>
      </w:r>
    </w:p>
    <w:p>
      <w:pPr>
        <w:pStyle w:val="ListBullet"/>
        <w:spacing w:after="40"/>
      </w:pPr>
      <w:r>
        <w:t>Use concise, consistent labels and clear active-tab styling.</w:t>
      </w:r>
    </w:p>
    <w:p>
      <w:pPr>
        <w:pStyle w:val="ListBullet"/>
        <w:spacing w:after="40"/>
      </w:pPr>
      <w:r>
        <w:t>Remove arbitrary count badges. Keep a count only if it represents a meaningful, current database value; otherwise remove it.</w:t>
      </w:r>
    </w:p>
    <w:p>
      <w:pPr>
        <w:pStyle w:val="ListBullet"/>
        <w:spacing w:after="40"/>
      </w:pPr>
      <w:r>
        <w:t>Ensure the navigation works on smaller screens. Use a compact menu or horizontally scrollable navigation only when necessary.</w:t>
      </w:r>
    </w:p>
    <w:p>
      <w:pPr>
        <w:pStyle w:val="ListBullet"/>
        <w:spacing w:after="40"/>
      </w:pPr>
      <w:r>
        <w:t>Make keyboard focus and active states visually clear.</w:t>
      </w:r>
    </w:p>
    <w:p>
      <w:pPr>
        <w:pStyle w:val="Heading2"/>
      </w:pPr>
      <w:r>
        <w:t>3.3 Main Chat Experience</w:t>
      </w:r>
    </w:p>
    <w:p>
      <w:pPr>
        <w:pStyle w:val="ListBullet"/>
        <w:spacing w:after="40"/>
      </w:pPr>
      <w:r>
        <w:t>Make the chat the primary focus of the page and give it the largest share of available width.</w:t>
      </w:r>
    </w:p>
    <w:p>
      <w:pPr>
        <w:pStyle w:val="ListBullet"/>
        <w:spacing w:after="40"/>
      </w:pPr>
      <w:r>
        <w:t>Shorten the welcome message to two or three lines. Avoid repeating a long list of every capability.</w:t>
      </w:r>
    </w:p>
    <w:p>
      <w:pPr>
        <w:pStyle w:val="ListBullet"/>
        <w:spacing w:after="40"/>
      </w:pPr>
      <w:r>
        <w:t>Use a friendly, professional greeting, for example: 'Hi! I can help you find products, track orders, and check return or refund eligibility.'</w:t>
      </w:r>
    </w:p>
    <w:p>
      <w:pPr>
        <w:pStyle w:val="ListBullet"/>
        <w:spacing w:after="40"/>
      </w:pPr>
      <w:r>
        <w:t>Provide four quick actions: 'Find a product', 'Track an order', 'Check a refund', and 'Return policy'.</w:t>
      </w:r>
    </w:p>
    <w:p>
      <w:pPr>
        <w:pStyle w:val="ListBullet"/>
        <w:spacing w:after="40"/>
      </w:pPr>
      <w:r>
        <w:t>Quick actions should wrap cleanly or become a responsive grid on smaller screens. No button or label should be clipped.</w:t>
      </w:r>
    </w:p>
    <w:p>
      <w:pPr>
        <w:pStyle w:val="ListBullet"/>
        <w:spacing w:after="40"/>
      </w:pPr>
      <w:r>
        <w:t>Improve chat message readability with comfortable line height, adequate contrast, and a sensible maximum message width.</w:t>
      </w:r>
    </w:p>
    <w:p>
      <w:pPr>
        <w:pStyle w:val="ListBullet"/>
        <w:spacing w:after="40"/>
      </w:pPr>
      <w:r>
        <w:t>Include appropriate loading/typing, empty, success, error, and retry states.</w:t>
      </w:r>
    </w:p>
    <w:p>
      <w:pPr>
        <w:pStyle w:val="ListBullet"/>
        <w:spacing w:after="40"/>
      </w:pPr>
      <w:r>
        <w:t>Keep Clear Conversation and Refresh Data actions, but style them as secondary actions and make their purpose clear.</w:t>
      </w:r>
    </w:p>
    <w:p>
      <w:pPr>
        <w:pStyle w:val="ListBullet"/>
        <w:spacing w:after="40"/>
      </w:pPr>
      <w:r>
        <w:t>Keep the composer easy to find. Use a clear placeholder such as 'Ask about products, orders, or return policies…'.</w:t>
      </w:r>
    </w:p>
    <w:p>
      <w:pPr>
        <w:pStyle w:val="ListBullet"/>
        <w:spacing w:after="40"/>
      </w:pPr>
      <w:r>
        <w:t>Ensure Enter/Send behavior is consistent and that the Send button has disabled/loading states when appropriate.</w:t>
      </w:r>
    </w:p>
    <w:p>
      <w:pPr>
        <w:pStyle w:val="Heading2"/>
      </w:pPr>
      <w:r>
        <w:t>3.4 Product Catalog</w:t>
      </w:r>
    </w:p>
    <w:p>
      <w:pPr>
        <w:pStyle w:val="ListBullet"/>
        <w:spacing w:after="40"/>
      </w:pPr>
      <w:r>
        <w:t>Show useful product information: product name, current price, availability/stock, and relevant specifications.</w:t>
      </w:r>
    </w:p>
    <w:p>
      <w:pPr>
        <w:pStyle w:val="ListBullet"/>
        <w:spacing w:after="40"/>
      </w:pPr>
      <w:r>
        <w:t>Make it clear when data was last refreshed if freshness matters.</w:t>
      </w:r>
    </w:p>
    <w:p>
      <w:pPr>
        <w:pStyle w:val="ListBullet"/>
        <w:spacing w:after="40"/>
      </w:pPr>
      <w:r>
        <w:t>Use actual Google Sheets data; do not use hardcoded sample products in the production flow.</w:t>
      </w:r>
    </w:p>
    <w:p>
      <w:pPr>
        <w:pStyle w:val="ListBullet"/>
        <w:spacing w:after="40"/>
      </w:pPr>
      <w:r>
        <w:t>Show clear empty, loading, and connection-error states.</w:t>
      </w:r>
    </w:p>
    <w:p>
      <w:pPr>
        <w:pStyle w:val="ListBullet"/>
        <w:spacing w:after="40"/>
      </w:pPr>
      <w:r>
        <w:t>Keep product results scannable and avoid displaying every technical field by default.</w:t>
      </w:r>
    </w:p>
    <w:p>
      <w:pPr>
        <w:pStyle w:val="Heading2"/>
      </w:pPr>
      <w:r>
        <w:t>3.5 Orders and Refunds</w:t>
      </w:r>
    </w:p>
    <w:p>
      <w:pPr>
        <w:pStyle w:val="ListBullet"/>
        <w:spacing w:after="40"/>
      </w:pPr>
      <w:r>
        <w:t>Show only the fields needed to understand an order: order ID, status, purchase date, and relevant item/amount details.</w:t>
      </w:r>
    </w:p>
    <w:p>
      <w:pPr>
        <w:pStyle w:val="ListBullet"/>
        <w:spacing w:after="40"/>
      </w:pPr>
      <w:r>
        <w:t>Explain refund eligibility in plain language and reference the applicable policy or rule.</w:t>
      </w:r>
    </w:p>
    <w:p>
      <w:pPr>
        <w:pStyle w:val="ListBullet"/>
        <w:spacing w:after="40"/>
      </w:pPr>
      <w:r>
        <w:t>Require confirmation before placing an order or submitting a consequential write action.</w:t>
      </w:r>
    </w:p>
    <w:p>
      <w:pPr>
        <w:pStyle w:val="ListBullet"/>
        <w:spacing w:after="40"/>
      </w:pPr>
      <w:r>
        <w:t>After a successful action, show a clear confirmation and the real generated order/reference ID.</w:t>
      </w:r>
    </w:p>
    <w:p>
      <w:pPr>
        <w:pStyle w:val="ListBullet"/>
        <w:spacing w:after="40"/>
      </w:pPr>
      <w:r>
        <w:t>On failure, show a helpful error and retry path. Never imply an order or refund succeeded if the write failed.</w:t>
      </w:r>
    </w:p>
    <w:p>
      <w:pPr>
        <w:pStyle w:val="ListBullet"/>
        <w:spacing w:after="40"/>
      </w:pPr>
      <w:r>
        <w:t>Do not expose unnecessary personal or payment information in the UI.</w:t>
      </w:r>
    </w:p>
    <w:p>
      <w:pPr>
        <w:pStyle w:val="Heading2"/>
      </w:pPr>
      <w:r>
        <w:t>3.6 Company Policies</w:t>
      </w:r>
    </w:p>
    <w:p>
      <w:pPr>
        <w:pStyle w:val="ListBullet"/>
        <w:spacing w:after="40"/>
      </w:pPr>
      <w:r>
        <w:t>Keep the Company Policies section accessible from navigation.</w:t>
      </w:r>
    </w:p>
    <w:p>
      <w:pPr>
        <w:pStyle w:val="ListBullet"/>
        <w:spacing w:after="40"/>
      </w:pPr>
      <w:r>
        <w:t>When answering policy questions, ground the response in the supplied Word document and show a concise source reference or relevant section when possible.</w:t>
      </w:r>
    </w:p>
    <w:p>
      <w:pPr>
        <w:pStyle w:val="ListBullet"/>
        <w:spacing w:after="40"/>
      </w:pPr>
      <w:r>
        <w:t>If the policy document cannot be accessed or the answer cannot be grounded, say so rather than inventing a policy.</w:t>
      </w:r>
    </w:p>
    <w:p>
      <w:pPr>
        <w:pStyle w:val="ListBullet"/>
        <w:spacing w:after="40"/>
      </w:pPr>
      <w:r>
        <w:t>Keep the full technical document-processing details out of the main chat screen.</w:t>
      </w:r>
    </w:p>
    <w:p>
      <w:pPr>
        <w:pStyle w:val="Heading2"/>
      </w:pPr>
      <w:r>
        <w:t>3.7 Right Sidebar: Remove or Rework</w:t>
      </w:r>
    </w:p>
    <w:p>
      <w:pPr>
        <w:pStyle w:val="ListBullet"/>
        <w:spacing w:after="40"/>
      </w:pPr>
      <w:r>
        <w:t>Remove the current 'System Architecture' card from the default customer-facing view. Framework names, CSS implementation, and document-processing library details are developer information.</w:t>
      </w:r>
    </w:p>
    <w:p>
      <w:pPr>
        <w:pStyle w:val="ListBullet"/>
        <w:spacing w:after="40"/>
      </w:pPr>
      <w:r>
        <w:t>If system status is useful, replace the card with a compact 'Service Status' panel showing verified states for product data, order service, and policy source.</w:t>
      </w:r>
    </w:p>
    <w:p>
      <w:pPr>
        <w:pStyle w:val="ListBullet"/>
        <w:spacing w:after="40"/>
      </w:pPr>
      <w:r>
        <w:t>Move architecture information to a separate About/Developer page or hide it behind a developer-only view.</w:t>
      </w:r>
    </w:p>
    <w:p>
      <w:pPr>
        <w:pStyle w:val="ListBullet"/>
        <w:spacing w:after="40"/>
      </w:pPr>
      <w:r>
        <w:t>Keep 'Refund Decision Logic' only if it helps users understand the rules. Present it as a short, readable policy summary rather than a dense technical card.</w:t>
      </w:r>
    </w:p>
    <w:p>
      <w:pPr>
        <w:pStyle w:val="ListBullet"/>
        <w:spacing w:after="40"/>
      </w:pPr>
      <w:r>
        <w:t>Remove or substantially shorten the 'Agent Capabilities' card if the same information is already shown in the welcome message.</w:t>
      </w:r>
    </w:p>
    <w:p>
      <w:pPr>
        <w:pStyle w:val="ListBullet"/>
        <w:spacing w:after="40"/>
      </w:pPr>
      <w:r>
        <w:t>Avoid repeating the same information in the header, welcome message, sidebar, and navigation.</w:t>
      </w:r>
    </w:p>
    <w:p>
      <w:pPr>
        <w:pStyle w:val="Heading1"/>
      </w:pPr>
      <w:r>
        <w:t>4. Visual Design System</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5B45BE"/>
          </w:tcPr>
          <w:p>
            <w:pPr>
              <w:spacing w:after="20"/>
            </w:pPr>
            <w:r/>
            <w:r>
              <w:rPr>
                <w:rFonts w:ascii="Aptos" w:hAnsi="Aptos"/>
                <w:b/>
                <w:color w:val="FFFFFF"/>
                <w:sz w:val="18"/>
              </w:rPr>
              <w:t>Area</w:t>
            </w:r>
          </w:p>
        </w:tc>
        <w:tc>
          <w:tcPr>
            <w:tcW w:type="dxa" w:w="3312"/>
            <w:vAlign w:val="center"/>
            <w:shd w:fill="5B45BE"/>
          </w:tcPr>
          <w:p>
            <w:pPr>
              <w:spacing w:after="20"/>
            </w:pPr>
            <w:r/>
            <w:r>
              <w:rPr>
                <w:rFonts w:ascii="Aptos" w:hAnsi="Aptos"/>
                <w:b/>
                <w:color w:val="FFFFFF"/>
                <w:sz w:val="18"/>
              </w:rPr>
              <w:t>Recommendation</w:t>
            </w:r>
          </w:p>
        </w:tc>
        <w:tc>
          <w:tcPr>
            <w:tcW w:type="dxa" w:w="3312"/>
            <w:vAlign w:val="center"/>
            <w:shd w:fill="5B45BE"/>
          </w:tcPr>
          <w:p>
            <w:pPr>
              <w:spacing w:after="20"/>
            </w:pPr>
            <w:r/>
            <w:r>
              <w:rPr>
                <w:rFonts w:ascii="Aptos" w:hAnsi="Aptos"/>
                <w:b/>
                <w:color w:val="FFFFFF"/>
                <w:sz w:val="18"/>
              </w:rPr>
              <w:t>Reason</w:t>
            </w:r>
          </w:p>
        </w:tc>
      </w:tr>
      <w:tr>
        <w:tc>
          <w:tcPr>
            <w:tcW w:type="dxa" w:w="3312"/>
            <w:vAlign w:val="center"/>
          </w:tcPr>
          <w:p>
            <w:pPr>
              <w:spacing w:after="20"/>
            </w:pPr>
            <w:r/>
            <w:r>
              <w:rPr>
                <w:rFonts w:ascii="Aptos" w:hAnsi="Aptos"/>
                <w:b/>
                <w:color w:val="2D3748"/>
                <w:sz w:val="16"/>
              </w:rPr>
              <w:t>Background</w:t>
            </w:r>
          </w:p>
        </w:tc>
        <w:tc>
          <w:tcPr>
            <w:tcW w:type="dxa" w:w="3312"/>
            <w:vAlign w:val="center"/>
          </w:tcPr>
          <w:p>
            <w:pPr>
              <w:spacing w:after="20"/>
            </w:pPr>
            <w:r/>
            <w:r>
              <w:rPr>
                <w:rFonts w:ascii="Aptos" w:hAnsi="Aptos"/>
                <w:b w:val="0"/>
                <w:color w:val="2D3748"/>
                <w:sz w:val="16"/>
              </w:rPr>
              <w:t>Deep navy/charcoal, with subtle contrast between page and panels</w:t>
            </w:r>
          </w:p>
        </w:tc>
        <w:tc>
          <w:tcPr>
            <w:tcW w:type="dxa" w:w="3312"/>
            <w:vAlign w:val="center"/>
          </w:tcPr>
          <w:p>
            <w:pPr>
              <w:spacing w:after="20"/>
            </w:pPr>
            <w:r/>
            <w:r>
              <w:rPr>
                <w:rFonts w:ascii="Aptos" w:hAnsi="Aptos"/>
                <w:b w:val="0"/>
                <w:color w:val="2D3748"/>
                <w:sz w:val="16"/>
              </w:rPr>
              <w:t>Preserves current identity without excessive purple tint</w:t>
            </w:r>
          </w:p>
        </w:tc>
      </w:tr>
      <w:tr>
        <w:tc>
          <w:tcPr>
            <w:tcW w:type="dxa" w:w="3312"/>
            <w:vAlign w:val="center"/>
          </w:tcPr>
          <w:p>
            <w:pPr>
              <w:spacing w:after="20"/>
            </w:pPr>
            <w:r/>
            <w:r>
              <w:rPr>
                <w:rFonts w:ascii="Aptos" w:hAnsi="Aptos"/>
                <w:b/>
                <w:color w:val="2D3748"/>
                <w:sz w:val="16"/>
              </w:rPr>
              <w:t>Accent</w:t>
            </w:r>
          </w:p>
        </w:tc>
        <w:tc>
          <w:tcPr>
            <w:tcW w:type="dxa" w:w="3312"/>
            <w:vAlign w:val="center"/>
          </w:tcPr>
          <w:p>
            <w:pPr>
              <w:spacing w:after="20"/>
            </w:pPr>
            <w:r/>
            <w:r>
              <w:rPr>
                <w:rFonts w:ascii="Aptos" w:hAnsi="Aptos"/>
                <w:b w:val="0"/>
                <w:color w:val="2D3748"/>
                <w:sz w:val="16"/>
              </w:rPr>
              <w:t>One primary purple; gradient only for a key CTA</w:t>
            </w:r>
          </w:p>
        </w:tc>
        <w:tc>
          <w:tcPr>
            <w:tcW w:type="dxa" w:w="3312"/>
            <w:vAlign w:val="center"/>
          </w:tcPr>
          <w:p>
            <w:pPr>
              <w:spacing w:after="20"/>
            </w:pPr>
            <w:r/>
            <w:r>
              <w:rPr>
                <w:rFonts w:ascii="Aptos" w:hAnsi="Aptos"/>
                <w:b w:val="0"/>
                <w:color w:val="2D3748"/>
                <w:sz w:val="16"/>
              </w:rPr>
              <w:t>Creates a consistent and restrained brand</w:t>
            </w:r>
          </w:p>
        </w:tc>
      </w:tr>
      <w:tr>
        <w:tc>
          <w:tcPr>
            <w:tcW w:type="dxa" w:w="3312"/>
            <w:vAlign w:val="center"/>
          </w:tcPr>
          <w:p>
            <w:pPr>
              <w:spacing w:after="20"/>
            </w:pPr>
            <w:r/>
            <w:r>
              <w:rPr>
                <w:rFonts w:ascii="Aptos" w:hAnsi="Aptos"/>
                <w:b/>
                <w:color w:val="2D3748"/>
                <w:sz w:val="16"/>
              </w:rPr>
              <w:t>Typography</w:t>
            </w:r>
          </w:p>
        </w:tc>
        <w:tc>
          <w:tcPr>
            <w:tcW w:type="dxa" w:w="3312"/>
            <w:vAlign w:val="center"/>
          </w:tcPr>
          <w:p>
            <w:pPr>
              <w:spacing w:after="20"/>
            </w:pPr>
            <w:r/>
            <w:r>
              <w:rPr>
                <w:rFonts w:ascii="Aptos" w:hAnsi="Aptos"/>
                <w:b w:val="0"/>
                <w:color w:val="2D3748"/>
                <w:sz w:val="16"/>
              </w:rPr>
              <w:t>Body text around 14–16 px; secondary text comfortably readable</w:t>
            </w:r>
          </w:p>
        </w:tc>
        <w:tc>
          <w:tcPr>
            <w:tcW w:type="dxa" w:w="3312"/>
            <w:vAlign w:val="center"/>
          </w:tcPr>
          <w:p>
            <w:pPr>
              <w:spacing w:after="20"/>
            </w:pPr>
            <w:r/>
            <w:r>
              <w:rPr>
                <w:rFonts w:ascii="Aptos" w:hAnsi="Aptos"/>
                <w:b w:val="0"/>
                <w:color w:val="2D3748"/>
                <w:sz w:val="16"/>
              </w:rPr>
              <w:t>Improves legibility</w:t>
            </w:r>
          </w:p>
        </w:tc>
      </w:tr>
      <w:tr>
        <w:tc>
          <w:tcPr>
            <w:tcW w:type="dxa" w:w="3312"/>
            <w:vAlign w:val="center"/>
          </w:tcPr>
          <w:p>
            <w:pPr>
              <w:spacing w:after="20"/>
            </w:pPr>
            <w:r/>
            <w:r>
              <w:rPr>
                <w:rFonts w:ascii="Aptos" w:hAnsi="Aptos"/>
                <w:b/>
                <w:color w:val="2D3748"/>
                <w:sz w:val="16"/>
              </w:rPr>
              <w:t>Spacing</w:t>
            </w:r>
          </w:p>
        </w:tc>
        <w:tc>
          <w:tcPr>
            <w:tcW w:type="dxa" w:w="3312"/>
            <w:vAlign w:val="center"/>
          </w:tcPr>
          <w:p>
            <w:pPr>
              <w:spacing w:after="20"/>
            </w:pPr>
            <w:r/>
            <w:r>
              <w:rPr>
                <w:rFonts w:ascii="Aptos" w:hAnsi="Aptos"/>
                <w:b w:val="0"/>
                <w:color w:val="2D3748"/>
                <w:sz w:val="16"/>
              </w:rPr>
              <w:t>Use a consistent spacing scale, e.g. 8 / 12 / 16 / 24 px</w:t>
            </w:r>
          </w:p>
        </w:tc>
        <w:tc>
          <w:tcPr>
            <w:tcW w:type="dxa" w:w="3312"/>
            <w:vAlign w:val="center"/>
          </w:tcPr>
          <w:p>
            <w:pPr>
              <w:spacing w:after="20"/>
            </w:pPr>
            <w:r/>
            <w:r>
              <w:rPr>
                <w:rFonts w:ascii="Aptos" w:hAnsi="Aptos"/>
                <w:b w:val="0"/>
                <w:color w:val="2D3748"/>
                <w:sz w:val="16"/>
              </w:rPr>
              <w:t>Creates rhythm and alignment</w:t>
            </w:r>
          </w:p>
        </w:tc>
      </w:tr>
      <w:tr>
        <w:tc>
          <w:tcPr>
            <w:tcW w:type="dxa" w:w="3312"/>
            <w:vAlign w:val="center"/>
          </w:tcPr>
          <w:p>
            <w:pPr>
              <w:spacing w:after="20"/>
            </w:pPr>
            <w:r/>
            <w:r>
              <w:rPr>
                <w:rFonts w:ascii="Aptos" w:hAnsi="Aptos"/>
                <w:b/>
                <w:color w:val="2D3748"/>
                <w:sz w:val="16"/>
              </w:rPr>
              <w:t>Cards</w:t>
            </w:r>
          </w:p>
        </w:tc>
        <w:tc>
          <w:tcPr>
            <w:tcW w:type="dxa" w:w="3312"/>
            <w:vAlign w:val="center"/>
          </w:tcPr>
          <w:p>
            <w:pPr>
              <w:spacing w:after="20"/>
            </w:pPr>
            <w:r/>
            <w:r>
              <w:rPr>
                <w:rFonts w:ascii="Aptos" w:hAnsi="Aptos"/>
                <w:b w:val="0"/>
                <w:color w:val="2D3748"/>
                <w:sz w:val="16"/>
              </w:rPr>
              <w:t>Fewer cards and borders; group related information</w:t>
            </w:r>
          </w:p>
        </w:tc>
        <w:tc>
          <w:tcPr>
            <w:tcW w:type="dxa" w:w="3312"/>
            <w:vAlign w:val="center"/>
          </w:tcPr>
          <w:p>
            <w:pPr>
              <w:spacing w:after="20"/>
            </w:pPr>
            <w:r/>
            <w:r>
              <w:rPr>
                <w:rFonts w:ascii="Aptos" w:hAnsi="Aptos"/>
                <w:b w:val="0"/>
                <w:color w:val="2D3748"/>
                <w:sz w:val="16"/>
              </w:rPr>
              <w:t>Reduces visual clutter</w:t>
            </w:r>
          </w:p>
        </w:tc>
      </w:tr>
      <w:tr>
        <w:tc>
          <w:tcPr>
            <w:tcW w:type="dxa" w:w="3312"/>
            <w:vAlign w:val="center"/>
          </w:tcPr>
          <w:p>
            <w:pPr>
              <w:spacing w:after="20"/>
            </w:pPr>
            <w:r/>
            <w:r>
              <w:rPr>
                <w:rFonts w:ascii="Aptos" w:hAnsi="Aptos"/>
                <w:b/>
                <w:color w:val="2D3748"/>
                <w:sz w:val="16"/>
              </w:rPr>
              <w:t>Buttons</w:t>
            </w:r>
          </w:p>
        </w:tc>
        <w:tc>
          <w:tcPr>
            <w:tcW w:type="dxa" w:w="3312"/>
            <w:vAlign w:val="center"/>
          </w:tcPr>
          <w:p>
            <w:pPr>
              <w:spacing w:after="20"/>
            </w:pPr>
            <w:r/>
            <w:r>
              <w:rPr>
                <w:rFonts w:ascii="Aptos" w:hAnsi="Aptos"/>
                <w:b w:val="0"/>
                <w:color w:val="2D3748"/>
                <w:sz w:val="16"/>
              </w:rPr>
              <w:t>One clear primary action; secondary actions visually quieter</w:t>
            </w:r>
          </w:p>
        </w:tc>
        <w:tc>
          <w:tcPr>
            <w:tcW w:type="dxa" w:w="3312"/>
            <w:vAlign w:val="center"/>
          </w:tcPr>
          <w:p>
            <w:pPr>
              <w:spacing w:after="20"/>
            </w:pPr>
            <w:r/>
            <w:r>
              <w:rPr>
                <w:rFonts w:ascii="Aptos" w:hAnsi="Aptos"/>
                <w:b w:val="0"/>
                <w:color w:val="2D3748"/>
                <w:sz w:val="16"/>
              </w:rPr>
              <w:t>Improves task clarity</w:t>
            </w:r>
          </w:p>
        </w:tc>
      </w:tr>
      <w:tr>
        <w:tc>
          <w:tcPr>
            <w:tcW w:type="dxa" w:w="3312"/>
            <w:vAlign w:val="center"/>
          </w:tcPr>
          <w:p>
            <w:pPr>
              <w:spacing w:after="20"/>
            </w:pPr>
            <w:r/>
            <w:r>
              <w:rPr>
                <w:rFonts w:ascii="Aptos" w:hAnsi="Aptos"/>
                <w:b/>
                <w:color w:val="2D3748"/>
                <w:sz w:val="16"/>
              </w:rPr>
              <w:t>States</w:t>
            </w:r>
          </w:p>
        </w:tc>
        <w:tc>
          <w:tcPr>
            <w:tcW w:type="dxa" w:w="3312"/>
            <w:vAlign w:val="center"/>
          </w:tcPr>
          <w:p>
            <w:pPr>
              <w:spacing w:after="20"/>
            </w:pPr>
            <w:r/>
            <w:r>
              <w:rPr>
                <w:rFonts w:ascii="Aptos" w:hAnsi="Aptos"/>
                <w:b w:val="0"/>
                <w:color w:val="2D3748"/>
                <w:sz w:val="16"/>
              </w:rPr>
              <w:t>Consistent loading, success, warning, error, and disabled styles</w:t>
            </w:r>
          </w:p>
        </w:tc>
        <w:tc>
          <w:tcPr>
            <w:tcW w:type="dxa" w:w="3312"/>
            <w:vAlign w:val="center"/>
          </w:tcPr>
          <w:p>
            <w:pPr>
              <w:spacing w:after="20"/>
            </w:pPr>
            <w:r/>
            <w:r>
              <w:rPr>
                <w:rFonts w:ascii="Aptos" w:hAnsi="Aptos"/>
                <w:b w:val="0"/>
                <w:color w:val="2D3748"/>
                <w:sz w:val="16"/>
              </w:rPr>
              <w:t>Makes system behavior understandable</w:t>
            </w:r>
          </w:p>
        </w:tc>
      </w:tr>
      <w:tr>
        <w:tc>
          <w:tcPr>
            <w:tcW w:type="dxa" w:w="3312"/>
            <w:vAlign w:val="center"/>
          </w:tcPr>
          <w:p>
            <w:pPr>
              <w:spacing w:after="20"/>
            </w:pPr>
            <w:r/>
            <w:r>
              <w:rPr>
                <w:rFonts w:ascii="Aptos" w:hAnsi="Aptos"/>
                <w:b/>
                <w:color w:val="2D3748"/>
                <w:sz w:val="16"/>
              </w:rPr>
              <w:t>Accessibility</w:t>
            </w:r>
          </w:p>
        </w:tc>
        <w:tc>
          <w:tcPr>
            <w:tcW w:type="dxa" w:w="3312"/>
            <w:vAlign w:val="center"/>
          </w:tcPr>
          <w:p>
            <w:pPr>
              <w:spacing w:after="20"/>
            </w:pPr>
            <w:r/>
            <w:r>
              <w:rPr>
                <w:rFonts w:ascii="Aptos" w:hAnsi="Aptos"/>
                <w:b w:val="0"/>
                <w:color w:val="2D3748"/>
                <w:sz w:val="16"/>
              </w:rPr>
              <w:t>Strong contrast, visible keyboard focus, labels for controls</w:t>
            </w:r>
          </w:p>
        </w:tc>
        <w:tc>
          <w:tcPr>
            <w:tcW w:type="dxa" w:w="3312"/>
            <w:vAlign w:val="center"/>
          </w:tcPr>
          <w:p>
            <w:pPr>
              <w:spacing w:after="20"/>
            </w:pPr>
            <w:r/>
            <w:r>
              <w:rPr>
                <w:rFonts w:ascii="Aptos" w:hAnsi="Aptos"/>
                <w:b w:val="0"/>
                <w:color w:val="2D3748"/>
                <w:sz w:val="16"/>
              </w:rPr>
              <w:t>Improves usability for more users</w:t>
            </w:r>
          </w:p>
        </w:tc>
      </w:tr>
    </w:tbl>
    <w:p>
      <w:pPr>
        <w:pStyle w:val="Heading1"/>
      </w:pPr>
      <w:r>
        <w:t>5. Responsive Behavior</w:t>
      </w:r>
    </w:p>
    <w:p>
      <w:pPr>
        <w:pStyle w:val="ListBullet"/>
        <w:spacing w:after="40"/>
      </w:pPr>
      <w:r>
        <w:t>Desktop: chat remains the main content area; supporting status information is compact and secondary.</w:t>
      </w:r>
    </w:p>
    <w:p>
      <w:pPr>
        <w:pStyle w:val="ListBullet"/>
        <w:spacing w:after="40"/>
      </w:pPr>
      <w:r>
        <w:t>Tablet: reduce sidebar width or move status information below/above the chat as appropriate.</w:t>
      </w:r>
    </w:p>
    <w:p>
      <w:pPr>
        <w:pStyle w:val="ListBullet"/>
        <w:spacing w:after="40"/>
      </w:pPr>
      <w:r>
        <w:t>Mobile: use a single-column layout; make navigation compact; ensure the composer and Send action remain accessible.</w:t>
      </w:r>
    </w:p>
    <w:p>
      <w:pPr>
        <w:pStyle w:val="ListBullet"/>
        <w:spacing w:after="40"/>
      </w:pPr>
      <w:r>
        <w:t>Quick-action buttons must wrap or adapt to the screen width. No horizontal overflow or clipped controls.</w:t>
      </w:r>
    </w:p>
    <w:p>
      <w:pPr>
        <w:pStyle w:val="ListBullet"/>
        <w:spacing w:after="40"/>
      </w:pPr>
      <w:r>
        <w:t>Long assistant responses, product names, and order IDs must wrap safely.</w:t>
      </w:r>
    </w:p>
    <w:p>
      <w:pPr>
        <w:pStyle w:val="ListBullet"/>
        <w:spacing w:after="40"/>
      </w:pPr>
      <w:r>
        <w:t>Test at common widths such as 1440 px, 1024 px, 768 px, and 390 px.</w:t>
      </w:r>
    </w:p>
    <w:p>
      <w:pPr>
        <w:pStyle w:val="Heading1"/>
      </w:pPr>
      <w:r>
        <w:t>6. Privacy, Trust, and Safety</w:t>
      </w:r>
    </w:p>
    <w:p>
      <w:pPr>
        <w:pStyle w:val="ListBullet"/>
        <w:spacing w:after="40"/>
      </w:pPr>
      <w:r>
        <w:t>Collect only information required for the current workflow.</w:t>
      </w:r>
    </w:p>
    <w:p>
      <w:pPr>
        <w:pStyle w:val="ListBullet"/>
        <w:spacing w:after="40"/>
      </w:pPr>
      <w:r>
        <w:t>Mask sensitive personal or banking details wherever possible; never display them in chat history or logs unnecessarily.</w:t>
      </w:r>
    </w:p>
    <w:p>
      <w:pPr>
        <w:pStyle w:val="ListBullet"/>
        <w:spacing w:after="40"/>
      </w:pPr>
      <w:r>
        <w:t>Use an authorized, secure workflow for any refund or bank-detail submission.</w:t>
      </w:r>
    </w:p>
    <w:p>
      <w:pPr>
        <w:pStyle w:val="ListBullet"/>
        <w:spacing w:after="40"/>
      </w:pPr>
      <w:r>
        <w:t>Explain what information is needed and why before asking the customer to provide it.</w:t>
      </w:r>
    </w:p>
    <w:p>
      <w:pPr>
        <w:pStyle w:val="ListBullet"/>
        <w:spacing w:after="40"/>
      </w:pPr>
      <w:r>
        <w:t>Never claim that a refund, order, or spreadsheet update succeeded until the backend confirms success.</w:t>
      </w:r>
    </w:p>
    <w:p>
      <w:pPr>
        <w:pStyle w:val="ListBullet"/>
        <w:spacing w:after="40"/>
      </w:pPr>
      <w:r>
        <w:t>Use real policy grounding. If data or policy access fails, state the limitation clearly.</w:t>
      </w:r>
    </w:p>
    <w:p>
      <w:pPr>
        <w:pStyle w:val="ListBullet"/>
        <w:spacing w:after="40"/>
      </w:pPr>
      <w:r>
        <w:t>Avoid exposing API keys, credentials, service-account details, or internal implementation information in the UI.</w:t>
      </w:r>
    </w:p>
    <w:p>
      <w:pPr>
        <w:pStyle w:val="Heading1"/>
      </w:pPr>
      <w:r>
        <w:t>7. Functionality That Must Be Preserved</w:t>
      </w:r>
    </w:p>
    <w:p>
      <w:pPr>
        <w:pStyle w:val="ListBullet"/>
        <w:spacing w:after="40"/>
      </w:pPr>
      <w:r>
        <w:t>Google Sheets product data integration and refresh capability.</w:t>
      </w:r>
    </w:p>
    <w:p>
      <w:pPr>
        <w:pStyle w:val="ListBullet"/>
        <w:spacing w:after="40"/>
      </w:pPr>
      <w:r>
        <w:t>Order placement and order record writing, where currently implemented.</w:t>
      </w:r>
    </w:p>
    <w:p>
      <w:pPr>
        <w:pStyle w:val="ListBullet"/>
        <w:spacing w:after="40"/>
      </w:pPr>
      <w:r>
        <w:t>Order/refund eligibility logic based on the actual policy rules.</w:t>
      </w:r>
    </w:p>
    <w:p>
      <w:pPr>
        <w:pStyle w:val="ListBullet"/>
        <w:spacing w:after="40"/>
      </w:pPr>
      <w:r>
        <w:t>Word document policy grounding.</w:t>
      </w:r>
    </w:p>
    <w:p>
      <w:pPr>
        <w:pStyle w:val="ListBullet"/>
        <w:spacing w:after="40"/>
      </w:pPr>
      <w:r>
        <w:t>Existing navigation sections and working backend/API integrations.</w:t>
      </w:r>
    </w:p>
    <w:p>
      <w:pPr>
        <w:pStyle w:val="ListBullet"/>
        <w:spacing w:after="40"/>
      </w:pPr>
      <w:r>
        <w:t>Current working behavior must not be removed or replaced with mock interactions.</w:t>
      </w:r>
    </w:p>
    <w:p>
      <w:pPr>
        <w:pStyle w:val="ListBullet"/>
        <w:spacing w:after="40"/>
      </w:pPr>
      <w:r>
        <w:t>If a feature is currently incomplete, do not fabricate a successful backend response; make the state explicit.</w:t>
      </w:r>
    </w:p>
    <w:p>
      <w:pPr>
        <w:pStyle w:val="Heading1"/>
      </w:pPr>
      <w:r>
        <w:t>8. Implementation Order</w:t>
      </w:r>
    </w:p>
    <w:p>
      <w:pPr>
        <w:pStyle w:val="ListNumber"/>
        <w:spacing w:after="60"/>
      </w:pPr>
      <w:r>
        <w:t>Inspect the existing project structure, components, routes, and integrations before editing.</w:t>
      </w:r>
    </w:p>
    <w:p>
      <w:pPr>
        <w:pStyle w:val="ListNumber"/>
        <w:spacing w:after="60"/>
      </w:pPr>
      <w:r>
        <w:t>Identify current working functionality and record it so it can be regression-tested.</w:t>
      </w:r>
    </w:p>
    <w:p>
      <w:pPr>
        <w:pStyle w:val="ListNumber"/>
        <w:spacing w:after="60"/>
      </w:pPr>
      <w:r>
        <w:t>Refactor the page layout and responsive behavior without changing backend contracts unnecessarily.</w:t>
      </w:r>
    </w:p>
    <w:p>
      <w:pPr>
        <w:pStyle w:val="ListNumber"/>
        <w:spacing w:after="60"/>
      </w:pPr>
      <w:r>
        <w:t>Simplify the header and navigation; reduce redundant status badges and count badges.</w:t>
      </w:r>
    </w:p>
    <w:p>
      <w:pPr>
        <w:pStyle w:val="ListNumber"/>
        <w:spacing w:after="60"/>
      </w:pPr>
      <w:r>
        <w:t>Make the chat panel the primary focus and improve welcome state, quick actions, composer, and message states.</w:t>
      </w:r>
    </w:p>
    <w:p>
      <w:pPr>
        <w:pStyle w:val="ListNumber"/>
        <w:spacing w:after="60"/>
      </w:pPr>
      <w:r>
        <w:t>Remove/rework the System Architecture, Refund Decision Logic, and Agent Capabilities cards as specified.</w:t>
      </w:r>
    </w:p>
    <w:p>
      <w:pPr>
        <w:pStyle w:val="ListNumber"/>
        <w:spacing w:after="60"/>
      </w:pPr>
      <w:r>
        <w:t>Apply consistent typography, spacing, contrast, button hierarchy, and responsive breakpoints.</w:t>
      </w:r>
    </w:p>
    <w:p>
      <w:pPr>
        <w:pStyle w:val="ListNumber"/>
        <w:spacing w:after="60"/>
      </w:pPr>
      <w:r>
        <w:t>Verify actual Google Sheets and policy states; remove hardcoded or misleading live indicators.</w:t>
      </w:r>
    </w:p>
    <w:p>
      <w:pPr>
        <w:pStyle w:val="ListNumber"/>
        <w:spacing w:after="60"/>
      </w:pPr>
      <w:r>
        <w:t>Test all existing workflows and fix layout overflow at desktop, tablet, and mobile widths.</w:t>
      </w:r>
    </w:p>
    <w:p>
      <w:pPr>
        <w:pStyle w:val="ListNumber"/>
        <w:spacing w:after="60"/>
      </w:pPr>
      <w:r>
        <w:t>Summarize files changed, design decisions, tests performed, and any known limitations.</w:t>
      </w:r>
    </w:p>
    <w:p>
      <w:pPr>
        <w:pStyle w:val="Heading1"/>
      </w:pPr>
      <w:r>
        <w:t>9. Acceptance Checklist</w:t>
      </w:r>
    </w:p>
    <w:p>
      <w:pPr>
        <w:pStyle w:val="ListBullet"/>
        <w:spacing w:after="40"/>
      </w:pPr>
      <w:r>
        <w:t>☐  The interface looks like a cohesive, professional SaaS product rather than a collection of unrelated cards.</w:t>
      </w:r>
    </w:p>
    <w:p>
      <w:pPr>
        <w:pStyle w:val="ListBullet"/>
        <w:spacing w:after="40"/>
      </w:pPr>
      <w:r>
        <w:t>☐  The chat is clearly the primary focus.</w:t>
      </w:r>
    </w:p>
    <w:p>
      <w:pPr>
        <w:pStyle w:val="ListBullet"/>
        <w:spacing w:after="40"/>
      </w:pPr>
      <w:r>
        <w:t>☐  The right sidebar no longer gives developer architecture details top-level prominence.</w:t>
      </w:r>
    </w:p>
    <w:p>
      <w:pPr>
        <w:pStyle w:val="ListBullet"/>
        <w:spacing w:after="40"/>
      </w:pPr>
      <w:r>
        <w:t>☐  Header status indicators are compact and reflect verified service state.</w:t>
      </w:r>
    </w:p>
    <w:p>
      <w:pPr>
        <w:pStyle w:val="ListBullet"/>
        <w:spacing w:after="40"/>
      </w:pPr>
      <w:r>
        <w:t>☐  No quick-action button, navigation label, or input is clipped at tested viewport sizes.</w:t>
      </w:r>
    </w:p>
    <w:p>
      <w:pPr>
        <w:pStyle w:val="ListBullet"/>
        <w:spacing w:after="40"/>
      </w:pPr>
      <w:r>
        <w:t>☐  Typography and contrast are readable in dark mode.</w:t>
      </w:r>
    </w:p>
    <w:p>
      <w:pPr>
        <w:pStyle w:val="ListBullet"/>
        <w:spacing w:after="40"/>
      </w:pPr>
      <w:r>
        <w:t>☐  Product, order, and policy information is sourced from the real connected data.</w:t>
      </w:r>
    </w:p>
    <w:p>
      <w:pPr>
        <w:pStyle w:val="ListBullet"/>
        <w:spacing w:after="40"/>
      </w:pPr>
      <w:r>
        <w:t>☐  Order/refund actions show confirmation only after actual success.</w:t>
      </w:r>
    </w:p>
    <w:p>
      <w:pPr>
        <w:pStyle w:val="ListBullet"/>
        <w:spacing w:after="40"/>
      </w:pPr>
      <w:r>
        <w:t>☐  Loading, empty, error, and retry states are handled.</w:t>
      </w:r>
    </w:p>
    <w:p>
      <w:pPr>
        <w:pStyle w:val="ListBullet"/>
        <w:spacing w:after="40"/>
      </w:pPr>
      <w:r>
        <w:t>☐  Sensitive details are not unnecessarily exposed.</w:t>
      </w:r>
    </w:p>
    <w:p>
      <w:pPr>
        <w:pStyle w:val="ListBullet"/>
        <w:spacing w:after="40"/>
      </w:pPr>
      <w:r>
        <w:t>☐  Existing working features and integrations continue to function.</w:t>
      </w:r>
    </w:p>
    <w:p>
      <w:pPr>
        <w:pStyle w:val="ListBullet"/>
        <w:spacing w:after="40"/>
      </w:pPr>
      <w:r>
        <w:t>☐  No fake data, fake success messages, or misleading connection indicators have been introduced.</w:t>
      </w:r>
    </w:p>
    <w:p>
      <w:pPr>
        <w:pStyle w:val="Heading1"/>
      </w:pPr>
      <w:r>
        <w:t>10. Copy-Paste Instruction for Antigravity</w:t>
      </w:r>
    </w:p>
    <w:tbl>
      <w:tblPr>
        <w:tblW w:type="auto" w:w="0"/>
        <w:jc w:val="center"/>
        <w:tblLook w:firstColumn="1" w:firstRow="1" w:lastColumn="0" w:lastRow="0" w:noHBand="0" w:noVBand="1" w:val="04A0"/>
      </w:tblPr>
      <w:tblGrid>
        <w:gridCol w:w="9936"/>
      </w:tblGrid>
      <w:tr>
        <w:tc>
          <w:tcPr>
            <w:tcW w:type="dxa" w:w="9936"/>
            <w:shd w:fill="F4F5F8"/>
          </w:tcPr>
          <w:p>
            <w:pPr>
              <w:spacing w:after="40"/>
            </w:pPr>
            <w:r/>
            <w:r>
              <w:rPr>
                <w:rFonts w:ascii="Aptos" w:hAnsi="Aptos"/>
                <w:color w:val="2D3748"/>
                <w:sz w:val="18"/>
              </w:rPr>
              <w:t>Please redesign and polish the existing TechMart AI Support Agent dashboard according to this document. First inspect the existing codebase and identify the working frontend components, routes, backend endpoints, Google Sheets integration, order/refund workflow, and Word-document policy grounding. Do not start by replacing the app or inventing a new backend. Preserve working functionality and existing API contracts wherever possible.</w:t>
              <w:br/>
              <w:br/>
              <w:t>Keep the dark navy/charcoal theme and restrained purple accent, but improve spacing, typography, contrast, hierarchy, and responsive behavior. Make the chat experience the primary focus. Simplify the header badges, keep only meaningful navigation counts, shorten the welcome message, add four useful quick actions, and ensure the prompt row and composer never clip or overflow. Remove the customer-facing System Architecture card or move technical details into an About/Developer view. Replace it with compact, verified service status only if useful. Reduce duplicated information across the header, chat welcome, and sidebar.</w:t>
              <w:br/>
              <w:br/>
              <w:t>Keep product search, live Google Sheets data, order placement, refund eligibility, and policy-grounded answers working. Use actual backend results for statuses and counts; do not hardcode values or claim success before the backend confirms it. Add/retain clear loading, empty, error, retry, and success states. Protect sensitive customer and bank details. Test desktop, tablet, and mobile layouts, including widths around 1440, 1024, 768, and 390 pixels. After implementation, report the files changed, features preserved, tests performed, and any remaining limitations.</w:t>
            </w:r>
          </w:p>
        </w:tc>
      </w:tr>
    </w:tbl>
    <w:p/>
    <w:p>
      <w:pPr>
        <w:jc w:val="center"/>
      </w:pPr>
      <w:r>
        <w:rPr>
          <w:i/>
          <w:color w:val="788291"/>
          <w:sz w:val="18"/>
        </w:rPr>
        <w:t>End of brief</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91"/>
        <w:sz w:val="16"/>
      </w:rPr>
      <w:t>UI/UX Improvement Specification  •  Prepared for implementation in Antigravity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91"/>
        <w:sz w:val="16"/>
      </w:rPr>
      <w:t>TECHMART AI  |  DASHBOARD REDESIGN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34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D374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B45B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