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658180"/>
            <wp:docPr id="1" name="Picture 1"/>
            <wp:cNvGraphicFramePr>
              <a:graphicFrameLocks noChangeAspect="1"/>
            </wp:cNvGraphicFramePr>
            <a:graphic>
              <a:graphicData uri="http://schemas.openxmlformats.org/drawingml/2006/picture">
                <pic:pic>
                  <pic:nvPicPr>
                    <pic:cNvPr id="0" name="pqs banner.png"/>
                    <pic:cNvPicPr/>
                  </pic:nvPicPr>
                  <pic:blipFill>
                    <a:blip r:embed="rId9"/>
                    <a:stretch>
                      <a:fillRect/>
                    </a:stretch>
                  </pic:blipFill>
                  <pic:spPr>
                    <a:xfrm>
                      <a:off x="0" y="0"/>
                      <a:ext cx="6400800" cy="658180"/>
                    </a:xfrm>
                    <a:prstGeom prst="rect"/>
                  </pic:spPr>
                </pic:pic>
              </a:graphicData>
            </a:graphic>
          </wp:inline>
        </w:drawing>
      </w:r>
    </w:p>
    <w:p/>
    <w:p>
      <w:pPr>
        <w:jc w:val="center"/>
      </w:pPr>
      <w:r>
        <w:drawing>
          <wp:inline xmlns:a="http://schemas.openxmlformats.org/drawingml/2006/main" xmlns:pic="http://schemas.openxmlformats.org/drawingml/2006/picture">
            <wp:extent cx="3200400" cy="3031273"/>
            <wp:docPr id="2" name="Picture 2"/>
            <wp:cNvGraphicFramePr>
              <a:graphicFrameLocks noChangeAspect="1"/>
            </wp:cNvGraphicFramePr>
            <a:graphic>
              <a:graphicData uri="http://schemas.openxmlformats.org/drawingml/2006/picture">
                <pic:pic>
                  <pic:nvPicPr>
                    <pic:cNvPr id="0" name="pqs logo.png"/>
                    <pic:cNvPicPr/>
                  </pic:nvPicPr>
                  <pic:blipFill>
                    <a:blip r:embed="rId10"/>
                    <a:stretch>
                      <a:fillRect/>
                    </a:stretch>
                  </pic:blipFill>
                  <pic:spPr>
                    <a:xfrm>
                      <a:off x="0" y="0"/>
                      <a:ext cx="3200400" cy="3031273"/>
                    </a:xfrm>
                    <a:prstGeom prst="rect"/>
                  </pic:spPr>
                </pic:pic>
              </a:graphicData>
            </a:graphic>
          </wp:inline>
        </w:drawing>
      </w:r>
    </w:p>
    <w:p/>
    <w:p>
      <w:pPr>
        <w:pStyle w:val="PQSTitle"/>
        <w:jc w:val="center"/>
      </w:pPr>
      <w:r>
        <w:t>PRECISION QUALITY SERVICES</w:t>
      </w:r>
    </w:p>
    <w:p>
      <w:pPr>
        <w:jc w:val="center"/>
      </w:pPr>
      <w:r>
        <w:rPr>
          <w:b/>
          <w:color w:val="646464"/>
          <w:sz w:val="28"/>
        </w:rPr>
        <w:t>Textile Training | Consultancy | Troubleshooting</w:t>
      </w:r>
    </w:p>
    <w:p/>
    <w:p>
      <w:pPr>
        <w:jc w:val="center"/>
      </w:pPr>
      <w:r>
        <w:rPr>
          <w:i/>
          <w:color w:val="0A1E35"/>
          <w:sz w:val="32"/>
        </w:rPr>
        <w:t>Precision. Quality. Performance.</w:t>
      </w:r>
    </w:p>
    <w:p>
      <w:r>
        <w:br w:type="page"/>
      </w:r>
    </w:p>
    <w:tbl>
      <w:tblPr>
        <w:tblW w:type="auto" w:w="0"/>
        <w:tblLayout w:type="fixed"/>
        <w:tblLook w:firstColumn="1" w:firstRow="1" w:lastColumn="0" w:lastRow="0" w:noHBand="0" w:noVBand="1" w:val="04A0"/>
      </w:tblPr>
      <w:tblGrid>
        <w:gridCol w:w="5760"/>
        <w:gridCol w:w="4320"/>
      </w:tblGrid>
      <w:tr>
        <w:tc>
          <w:tcPr>
            <w:tcW w:type="dxa" w:w="5040"/>
          </w:tcPr>
          <w:p/>
          <w:p>
            <w:pPr>
              <w:pStyle w:val="PQSH1"/>
            </w:pPr>
            <w:r>
              <w:t>WHO WE ARE</w:t>
            </w:r>
          </w:p>
          <w:p>
            <w:pPr>
              <w:spacing w:after="280"/>
            </w:pPr>
            <w:r>
              <w:t>Precision Quality Services (PQS) is a premier textile consultancy and training firm dedicated to elevating the operational standards of textile manufacturers.</w:t>
              <w:br/>
              <w:br/>
              <w:t>Born from a deep understanding of the industry's complex challenges, we deliver hands-on, practical solutions that drive measurable improvements in quality, process control, and overall productivity. We believe that better processes create better quality, better quality creates satisfied customers, and satisfied customers create sustainable business growth.</w:t>
            </w:r>
          </w:p>
          <w:p>
            <w:pPr>
              <w:pStyle w:val="PQSH2"/>
            </w:pPr>
            <w:r>
              <w:t>OUR VISION</w:t>
            </w:r>
          </w:p>
          <w:p>
            <w:r>
              <w:t>To become the textile industry's most trusted partner—recognized for delivering practical knowledge, effective solutions, and measurable improvements in quality and performance.</w:t>
            </w:r>
          </w:p>
          <w:p>
            <w:pPr>
              <w:pStyle w:val="PQSH2"/>
            </w:pPr>
            <w:r>
              <w:t>OUR MISSION</w:t>
            </w:r>
          </w:p>
          <w:p>
            <w:r>
              <w:t>To empower textile organizations through elite professional training, strategic technical consultancy, and systematic troubleshooting to fortify their people, processes, and products.</w:t>
            </w:r>
          </w:p>
        </w:tc>
        <w:tc>
          <w:tcPr>
            <w:tcW w:type="dxa" w:w="5040"/>
          </w:tcPr>
          <w:p/>
          <w:p>
            <w:pPr>
              <w:jc w:val="center"/>
            </w:pPr>
            <w:r>
              <w:drawing>
                <wp:inline xmlns:a="http://schemas.openxmlformats.org/drawingml/2006/main" xmlns:pic="http://schemas.openxmlformats.org/drawingml/2006/picture">
                  <wp:extent cx="2560320" cy="3850081"/>
                  <wp:docPr id="3" name="Picture 3"/>
                  <wp:cNvGraphicFramePr>
                    <a:graphicFrameLocks noChangeAspect="1"/>
                  </wp:cNvGraphicFramePr>
                  <a:graphic>
                    <a:graphicData uri="http://schemas.openxmlformats.org/drawingml/2006/picture">
                      <pic:pic>
                        <pic:nvPicPr>
                          <pic:cNvPr id="0" name="loom.jpg"/>
                          <pic:cNvPicPr/>
                        </pic:nvPicPr>
                        <pic:blipFill>
                          <a:blip r:embed="rId11"/>
                          <a:stretch>
                            <a:fillRect/>
                          </a:stretch>
                        </pic:blipFill>
                        <pic:spPr>
                          <a:xfrm>
                            <a:off x="0" y="0"/>
                            <a:ext cx="2560320" cy="3850081"/>
                          </a:xfrm>
                          <a:prstGeom prst="rect"/>
                        </pic:spPr>
                      </pic:pic>
                    </a:graphicData>
                  </a:graphic>
                </wp:inline>
              </w:drawing>
            </w:r>
          </w:p>
        </w:tc>
      </w:tr>
    </w:tbl>
    <w:p/>
    <w:p>
      <w:r>
        <w:br w:type="page"/>
      </w:r>
    </w:p>
    <w:p>
      <w:pPr>
        <w:pStyle w:val="PQSH1"/>
      </w:pPr>
      <w:r>
        <w:t>OUR CORE SERVICES</w:t>
      </w:r>
    </w:p>
    <w:tbl>
      <w:tblPr>
        <w:tblW w:type="auto" w:w="0"/>
        <w:tblLayout w:type="fixed"/>
        <w:tblLook w:firstColumn="1" w:firstRow="1" w:lastColumn="0" w:lastRow="0" w:noHBand="0" w:noVBand="1" w:val="04A0"/>
      </w:tblPr>
      <w:tblGrid>
        <w:gridCol w:w="3600"/>
        <w:gridCol w:w="6480"/>
      </w:tblGrid>
      <w:tr>
        <w:tc>
          <w:tcPr>
            <w:tcW w:type="dxa" w:w="5040"/>
          </w:tcPr>
          <w:p/>
          <w:p>
            <w:r>
              <w:drawing>
                <wp:inline xmlns:a="http://schemas.openxmlformats.org/drawingml/2006/main" xmlns:pic="http://schemas.openxmlformats.org/drawingml/2006/picture">
                  <wp:extent cx="2103120" cy="1401204"/>
                  <wp:docPr id="4" name="Picture 4"/>
                  <wp:cNvGraphicFramePr>
                    <a:graphicFrameLocks noChangeAspect="1"/>
                  </wp:cNvGraphicFramePr>
                  <a:graphic>
                    <a:graphicData uri="http://schemas.openxmlformats.org/drawingml/2006/picture">
                      <pic:pic>
                        <pic:nvPicPr>
                          <pic:cNvPr id="0" name="threads.jpg"/>
                          <pic:cNvPicPr/>
                        </pic:nvPicPr>
                        <pic:blipFill>
                          <a:blip r:embed="rId12"/>
                          <a:stretch>
                            <a:fillRect/>
                          </a:stretch>
                        </pic:blipFill>
                        <pic:spPr>
                          <a:xfrm>
                            <a:off x="0" y="0"/>
                            <a:ext cx="2103120" cy="1401204"/>
                          </a:xfrm>
                          <a:prstGeom prst="rect"/>
                        </pic:spPr>
                      </pic:pic>
                    </a:graphicData>
                  </a:graphic>
                </wp:inline>
              </w:drawing>
            </w:r>
          </w:p>
        </w:tc>
        <w:tc>
          <w:tcPr>
            <w:tcW w:type="dxa" w:w="5040"/>
          </w:tcPr>
          <w:p/>
          <w:p>
            <w:pPr>
              <w:pStyle w:val="PQSH2"/>
            </w:pPr>
            <w:r>
              <w:t>TEXTILE TRAINING</w:t>
            </w:r>
          </w:p>
          <w:p>
            <w:r>
              <w:t>Equipping your workforce with the skills that matter. From quality control and defect analysis to root cause identification and supervisory development, our customized training programs bridge the gap between classroom theory and factory floor reality.</w:t>
            </w:r>
          </w:p>
          <w:p>
            <w:pPr>
              <w:pStyle w:val="PQSH2"/>
            </w:pPr>
            <w:r>
              <w:t>TEXTILE CONSULTANCY</w:t>
            </w:r>
          </w:p>
          <w:p>
            <w:r>
              <w:t>Transforming operations through strategic insight. We partner with you to refine quality systems, standardize processes, and eliminate inefficiencies, replacing theoretical advice with practical, implementable solutions.</w:t>
            </w:r>
          </w:p>
          <w:p>
            <w:pPr>
              <w:pStyle w:val="PQSH2"/>
            </w:pPr>
            <w:r>
              <w:t>TROUBLESHOOTING</w:t>
            </w:r>
          </w:p>
          <w:p>
            <w:r>
              <w:t>Systematic resolution for complex manufacturing challenges. We don't just treat symptoms; we investigate deep-rooted process variations to establish corrective and preventive actions (CAPA), safeguarding your production from recurring defects.</w:t>
            </w:r>
          </w:p>
        </w:tc>
      </w:tr>
    </w:tbl>
    <w:p/>
    <w:p>
      <w:r>
        <w:br w:type="page"/>
      </w:r>
    </w:p>
    <w:p>
      <w:pPr>
        <w:pStyle w:val="PQSH1"/>
      </w:pPr>
      <w:r>
        <w:t>OUR APPROACH</w:t>
      </w:r>
    </w:p>
    <w:p>
      <w:r>
        <w:t>At Precision Quality Services, we follow a structured, six-step practical approach to ensure sustained results.</w:t>
      </w:r>
    </w:p>
    <w:tbl>
      <w:tblPr>
        <w:tblW w:type="auto" w:w="0"/>
        <w:tblLook w:firstColumn="1" w:firstRow="1" w:lastColumn="0" w:lastRow="0" w:noHBand="0" w:noVBand="1" w:val="04A0"/>
      </w:tblPr>
      <w:tblGrid>
        <w:gridCol w:w="5040"/>
        <w:gridCol w:w="5040"/>
      </w:tblGrid>
      <w:tr>
        <w:trPr>
          <w:trHeight w:val="1152"/>
        </w:trPr>
        <w:tc>
          <w:tcPr>
            <w:tcW w:type="dxa" w:w="5040"/>
            <w:shd w:fill="0A1E35" w:val="clear"/>
          </w:tcPr>
          <w:p/>
          <w:p>
            <w:r>
              <w:rPr>
                <w:b/>
                <w:color w:val="FFFFFF"/>
                <w:sz w:val="24"/>
              </w:rPr>
              <w:t>01. UNDERSTAND</w:t>
            </w:r>
          </w:p>
          <w:p>
            <w:r>
              <w:rPr>
                <w:color w:val="E6E6E6"/>
                <w:sz w:val="20"/>
              </w:rPr>
              <w:t>Map the organization's processes, objectives, and specific challenges.</w:t>
            </w:r>
          </w:p>
        </w:tc>
        <w:tc>
          <w:tcPr>
            <w:tcW w:type="dxa" w:w="5040"/>
            <w:shd w:fill="0A1E35" w:val="clear"/>
          </w:tcPr>
          <w:p/>
          <w:p>
            <w:r>
              <w:rPr>
                <w:b/>
                <w:color w:val="FFFFFF"/>
                <w:sz w:val="24"/>
              </w:rPr>
              <w:t>02. ANALYZE</w:t>
            </w:r>
          </w:p>
          <w:p>
            <w:r>
              <w:rPr>
                <w:color w:val="E6E6E6"/>
                <w:sz w:val="20"/>
              </w:rPr>
              <w:t>Examine available data, workflows, and quality issues meticulously.</w:t>
            </w:r>
          </w:p>
        </w:tc>
      </w:tr>
      <w:tr>
        <w:trPr>
          <w:trHeight w:val="1152"/>
        </w:trPr>
        <w:tc>
          <w:tcPr>
            <w:tcW w:type="dxa" w:w="5040"/>
            <w:shd w:fill="0A1E35" w:val="clear"/>
          </w:tcPr>
          <w:p/>
          <w:p>
            <w:r>
              <w:rPr>
                <w:b/>
                <w:color w:val="FFFFFF"/>
                <w:sz w:val="24"/>
              </w:rPr>
              <w:t>03. IDENTIFY</w:t>
            </w:r>
          </w:p>
          <w:p>
            <w:r>
              <w:rPr>
                <w:color w:val="E6E6E6"/>
                <w:sz w:val="20"/>
              </w:rPr>
              <w:t>Pinpoint root causes using proven problem-solving techniques.</w:t>
            </w:r>
          </w:p>
        </w:tc>
        <w:tc>
          <w:tcPr>
            <w:tcW w:type="dxa" w:w="5040"/>
            <w:shd w:fill="0A1E35" w:val="clear"/>
          </w:tcPr>
          <w:p/>
          <w:p>
            <w:r>
              <w:rPr>
                <w:b/>
                <w:color w:val="FFFFFF"/>
                <w:sz w:val="24"/>
              </w:rPr>
              <w:t>04. IMPROVE</w:t>
            </w:r>
          </w:p>
          <w:p>
            <w:r>
              <w:rPr>
                <w:color w:val="E6E6E6"/>
                <w:sz w:val="20"/>
              </w:rPr>
              <w:t>Develop actionable, corrective, and improvement strategies.</w:t>
            </w:r>
          </w:p>
        </w:tc>
      </w:tr>
      <w:tr>
        <w:trPr>
          <w:trHeight w:val="1152"/>
        </w:trPr>
        <w:tc>
          <w:tcPr>
            <w:tcW w:type="dxa" w:w="5040"/>
            <w:shd w:fill="0A1E35" w:val="clear"/>
          </w:tcPr>
          <w:p/>
          <w:p>
            <w:r>
              <w:rPr>
                <w:b/>
                <w:color w:val="FFFFFF"/>
                <w:sz w:val="24"/>
              </w:rPr>
              <w:t>05. IMPLEMENT</w:t>
            </w:r>
          </w:p>
          <w:p>
            <w:r>
              <w:rPr>
                <w:color w:val="E6E6E6"/>
                <w:sz w:val="20"/>
              </w:rPr>
              <w:t>Provide hands-on support during the rollout of new practices.</w:t>
            </w:r>
          </w:p>
        </w:tc>
        <w:tc>
          <w:tcPr>
            <w:tcW w:type="dxa" w:w="5040"/>
            <w:shd w:fill="0A1E35" w:val="clear"/>
          </w:tcPr>
          <w:p/>
          <w:p>
            <w:r>
              <w:rPr>
                <w:b/>
                <w:color w:val="FFFFFF"/>
                <w:sz w:val="24"/>
              </w:rPr>
              <w:t>06. SUSTAIN</w:t>
            </w:r>
          </w:p>
          <w:p>
            <w:r>
              <w:rPr>
                <w:color w:val="E6E6E6"/>
                <w:sz w:val="20"/>
              </w:rPr>
              <w:t>Establish controls to guarantee long-term success and consistency.</w:t>
            </w:r>
          </w:p>
        </w:tc>
      </w:tr>
    </w:tbl>
    <w:p/>
    <w:p>
      <w:pPr>
        <w:jc w:val="center"/>
      </w:pPr>
      <w:r>
        <w:drawing>
          <wp:inline xmlns:a="http://schemas.openxmlformats.org/drawingml/2006/main" xmlns:pic="http://schemas.openxmlformats.org/drawingml/2006/picture">
            <wp:extent cx="5486400" cy="8222742"/>
            <wp:docPr id="5" name="Picture 5"/>
            <wp:cNvGraphicFramePr>
              <a:graphicFrameLocks noChangeAspect="1"/>
            </wp:cNvGraphicFramePr>
            <a:graphic>
              <a:graphicData uri="http://schemas.openxmlformats.org/drawingml/2006/picture">
                <pic:pic>
                  <pic:nvPicPr>
                    <pic:cNvPr id="0" name="engineer.jpg"/>
                    <pic:cNvPicPr/>
                  </pic:nvPicPr>
                  <pic:blipFill>
                    <a:blip r:embed="rId13"/>
                    <a:stretch>
                      <a:fillRect/>
                    </a:stretch>
                  </pic:blipFill>
                  <pic:spPr>
                    <a:xfrm>
                      <a:off x="0" y="0"/>
                      <a:ext cx="5486400" cy="8222742"/>
                    </a:xfrm>
                    <a:prstGeom prst="rect"/>
                  </pic:spPr>
                </pic:pic>
              </a:graphicData>
            </a:graphic>
          </wp:inline>
        </w:drawing>
      </w:r>
    </w:p>
    <w:p>
      <w:r>
        <w:br w:type="page"/>
      </w:r>
    </w:p>
    <w:tbl>
      <w:tblPr>
        <w:tblW w:type="auto" w:w="0"/>
        <w:tblLook w:firstColumn="1" w:firstRow="1" w:lastColumn="0" w:lastRow="0" w:noHBand="0" w:noVBand="1" w:val="04A0"/>
      </w:tblPr>
      <w:tblGrid>
        <w:gridCol w:w="5040"/>
        <w:gridCol w:w="5040"/>
      </w:tblGrid>
      <w:tr>
        <w:tc>
          <w:tcPr>
            <w:tcW w:type="dxa" w:w="5040"/>
          </w:tcPr>
          <w:p/>
          <w:p>
            <w:pPr>
              <w:pStyle w:val="PQSH2"/>
            </w:pPr>
            <w:r>
              <w:t>OUR VALUE TO TEXTILE ORGANIZATIONS</w:t>
            </w:r>
          </w:p>
          <w:p>
            <w:pPr>
              <w:pStyle w:val="ListBullet"/>
            </w:pPr>
            <w:r>
              <w:t>Improved product quality &amp; consistency</w:t>
            </w:r>
          </w:p>
          <w:p>
            <w:pPr>
              <w:pStyle w:val="ListBullet"/>
            </w:pPr>
            <w:r>
              <w:t>Significant reduction in defects &amp; rework</w:t>
            </w:r>
          </w:p>
          <w:p>
            <w:pPr>
              <w:pStyle w:val="ListBullet"/>
            </w:pPr>
            <w:r>
              <w:t>Better process control across all departments</w:t>
            </w:r>
          </w:p>
          <w:p>
            <w:pPr>
              <w:pStyle w:val="ListBullet"/>
            </w:pPr>
            <w:r>
              <w:t>Enhanced employee technical knowledge</w:t>
            </w:r>
          </w:p>
          <w:p>
            <w:pPr>
              <w:pStyle w:val="ListBullet"/>
            </w:pPr>
            <w:r>
              <w:t>Faster and effective root-cause identification</w:t>
            </w:r>
          </w:p>
          <w:p>
            <w:pPr>
              <w:pStyle w:val="ListBullet"/>
            </w:pPr>
            <w:r>
              <w:t>Stronger, resilient organizational quality culture</w:t>
            </w:r>
          </w:p>
          <w:p>
            <w:pPr>
              <w:pStyle w:val="PQSH2"/>
            </w:pPr>
            <w:r>
              <w:t>WHO WE SERVE</w:t>
            </w:r>
          </w:p>
          <w:p>
            <w:r>
              <w:t>Spinning • Weaving • Knitting • Dyeing • Processing • Printing • Garments • Home Textiles • Textile Finishing • Quality &amp; Testing</w:t>
            </w:r>
          </w:p>
        </w:tc>
        <w:tc>
          <w:tcPr>
            <w:tcW w:type="dxa" w:w="5040"/>
          </w:tcPr>
          <w:p/>
          <w:p>
            <w:pPr>
              <w:jc w:val="center"/>
            </w:pPr>
            <w:r>
              <w:drawing>
                <wp:inline xmlns:a="http://schemas.openxmlformats.org/drawingml/2006/main" xmlns:pic="http://schemas.openxmlformats.org/drawingml/2006/picture">
                  <wp:extent cx="2743200" cy="2743200"/>
                  <wp:docPr id="6" name="Picture 6"/>
                  <wp:cNvGraphicFramePr>
                    <a:graphicFrameLocks noChangeAspect="1"/>
                  </wp:cNvGraphicFramePr>
                  <a:graphic>
                    <a:graphicData uri="http://schemas.openxmlformats.org/drawingml/2006/picture">
                      <pic:pic>
                        <pic:nvPicPr>
                          <pic:cNvPr id="0" name="pqs stamp.png"/>
                          <pic:cNvPicPr/>
                        </pic:nvPicPr>
                        <pic:blipFill>
                          <a:blip r:embed="rId14"/>
                          <a:stretch>
                            <a:fillRect/>
                          </a:stretch>
                        </pic:blipFill>
                        <pic:spPr>
                          <a:xfrm>
                            <a:off x="0" y="0"/>
                            <a:ext cx="2743200" cy="2743200"/>
                          </a:xfrm>
                          <a:prstGeom prst="rect"/>
                        </pic:spPr>
                      </pic:pic>
                    </a:graphicData>
                  </a:graphic>
                </wp:inline>
              </w:drawing>
            </w:r>
          </w:p>
        </w:tc>
      </w:tr>
    </w:tbl>
    <w:p>
      <w:r>
        <w:br w:type="page"/>
      </w:r>
    </w:p>
    <w:p>
      <w:pPr>
        <w:pStyle w:val="PQSH1"/>
      </w:pPr>
      <w:r>
        <w:t>CONTACT US</w:t>
      </w:r>
    </w:p>
    <w:p>
      <w:pPr>
        <w:jc w:val="center"/>
      </w:pPr>
      <w:r>
        <w:drawing>
          <wp:inline xmlns:a="http://schemas.openxmlformats.org/drawingml/2006/main" xmlns:pic="http://schemas.openxmlformats.org/drawingml/2006/picture">
            <wp:extent cx="5486400" cy="7317486"/>
            <wp:docPr id="7" name="Picture 7"/>
            <wp:cNvGraphicFramePr>
              <a:graphicFrameLocks noChangeAspect="1"/>
            </wp:cNvGraphicFramePr>
            <a:graphic>
              <a:graphicData uri="http://schemas.openxmlformats.org/drawingml/2006/picture">
                <pic:pic>
                  <pic:nvPicPr>
                    <pic:cNvPr id="0" name="cotton.jpg"/>
                    <pic:cNvPicPr/>
                  </pic:nvPicPr>
                  <pic:blipFill>
                    <a:blip r:embed="rId15"/>
                    <a:stretch>
                      <a:fillRect/>
                    </a:stretch>
                  </pic:blipFill>
                  <pic:spPr>
                    <a:xfrm>
                      <a:off x="0" y="0"/>
                      <a:ext cx="5486400" cy="7317486"/>
                    </a:xfrm>
                    <a:prstGeom prst="rect"/>
                  </pic:spPr>
                </pic:pic>
              </a:graphicData>
            </a:graphic>
          </wp:inline>
        </w:drawing>
      </w:r>
    </w:p>
    <w:p/>
    <w:p>
      <w:pPr>
        <w:jc w:val="center"/>
      </w:pPr>
      <w:r>
        <w:rPr>
          <w:b/>
          <w:color w:val="0A1E35"/>
          <w:sz w:val="28"/>
        </w:rPr>
        <w:t>OUR PROMISE</w:t>
      </w:r>
    </w:p>
    <w:p>
      <w:pPr>
        <w:jc w:val="center"/>
      </w:pPr>
      <w:r>
        <w:rPr>
          <w:i/>
          <w:color w:val="505050"/>
          <w:sz w:val="24"/>
        </w:rPr>
        <w:t>Precision in Knowledge. Quality in Processes.</w:t>
        <w:br/>
        <w:t>Solutions to Problems. Performance through Improvement.</w:t>
      </w:r>
    </w:p>
    <w:p/>
    <w:p>
      <w:pPr>
        <w:jc w:val="center"/>
      </w:pPr>
      <w:r>
        <w:rPr>
          <w:b/>
          <w:color w:val="0A1E35"/>
          <w:sz w:val="28"/>
        </w:rPr>
        <w:t>Precision Quality Services</w:t>
        <w:br/>
      </w:r>
      <w:r>
        <w:t>Phone: +[Your Phone Number]</w:t>
        <w:br/>
        <w:t>Email: info@pqs-textile.com</w:t>
        <w:br/>
        <w:t>Website: www.pqs-textile.com</w:t>
        <w:br/>
        <w:t>Location: [City, Country]</w:t>
        <w:br/>
      </w:r>
    </w:p>
    <w:p>
      <w:pPr>
        <w:jc w:val="center"/>
      </w:pPr>
      <w:r>
        <w:rPr>
          <w:b/>
          <w:color w:val="0A1E35"/>
        </w:rPr>
        <w:br/>
        <w:t>Let's Improve Textile Quality Together.</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QSTitle">
    <w:name w:val="PQSTitle"/>
    <w:rPr>
      <w:rFonts w:ascii="Arial" w:hAnsi="Arial"/>
      <w:b/>
      <w:color w:val="0A1E35"/>
      <w:sz w:val="56"/>
    </w:rPr>
  </w:style>
  <w:style w:type="paragraph" w:customStyle="1" w:styleId="PQSH1">
    <w:name w:val="PQSH1"/>
    <w:rPr>
      <w:rFonts w:ascii="Arial" w:hAnsi="Arial"/>
      <w:b/>
      <w:color w:val="0A1E35"/>
      <w:sz w:val="40"/>
    </w:rPr>
  </w:style>
  <w:style w:type="paragraph" w:customStyle="1" w:styleId="PQSH2">
    <w:name w:val="PQSH2"/>
    <w:rPr>
      <w:rFonts w:ascii="Arial" w:hAnsi="Arial"/>
      <w:b/>
      <w:color w:val="0A1E35"/>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