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11827"/>
          <w:sz w:val="40"/>
        </w:rPr>
        <w:t>FYP 1 Mid Student Evidence Worksheet</w:t>
      </w:r>
    </w:p>
    <w:p>
      <w:pPr>
        <w:spacing w:before="0" w:after="40"/>
      </w:pPr>
      <w:r>
        <w:rPr>
          <w:rFonts w:ascii="Calibri" w:hAnsi="Calibri"/>
          <w:b/>
          <w:color w:val="374151"/>
          <w:sz w:val="24"/>
        </w:rPr>
        <w:t>Preparation for the supervisory presentation demo and report evaluations</w:t>
      </w:r>
    </w:p>
    <w:p>
      <w:pPr>
        <w:spacing w:before="0" w:after="160"/>
      </w:pPr>
      <w:r>
        <w:rPr>
          <w:rFonts w:ascii="Calibri" w:hAnsi="Calibri"/>
          <w:i/>
          <w:color w:val="6B7280"/>
          <w:sz w:val="19"/>
        </w:rPr>
        <w:t>Complete as a group and submit with the FYP 1 mid report at least 48 hours before the evaluation meeting</w:t>
      </w:r>
    </w:p>
    <w:tbl>
      <w:tblPr>
        <w:tblW w:type="auto" w:w="0"/>
        <w:tblLook w:firstColumn="1" w:firstRow="1" w:lastColumn="0" w:lastRow="0" w:noHBand="0" w:noVBand="1" w:val="04A0"/>
        <w:tblBorders>
          <w:top w:val="single" w:sz="6" w:space="0" w:color="BFDBFE"/>
          <w:bottom w:val="single" w:sz="6" w:space="0" w:color="BFDBFE"/>
          <w:insideH w:val="single" w:sz="6" w:space="0" w:color="BFDBFE"/>
          <w:insideV w:val="single" w:sz="6" w:space="0" w:color="BFDBFE"/>
          <w:left w:val="none"/>
          <w:right w:val="none"/>
        </w:tblBorders>
      </w:tblPr>
      <w:tblGrid>
        <w:gridCol w:w="10224"/>
      </w:tblGrid>
      <w:tr>
        <w:tc>
          <w:tcPr>
            <w:tcW w:type="dxa" w:w="10224"/>
            <w:shd w:fill="EFF6FF"/>
          </w:tcPr>
          <w:p>
            <w:pPr>
              <w:spacing w:before="40" w:after="40"/>
            </w:pPr>
            <w:r>
              <w:rPr>
                <w:b/>
                <w:sz w:val="18"/>
              </w:rPr>
              <w:t xml:space="preserve">Purpose: </w:t>
            </w:r>
            <w:r>
              <w:rPr>
                <w:sz w:val="18"/>
              </w:rPr>
              <w:t>This worksheet helps the group prepare verifiable evidence for the two handbook instruments used at the FYP-1 mid stage: Form 2 for the presentation and live demo, and Form 3 for the mid report. It supports the official forms; it does not replace the prescribed mid report or the supervisor's official assessment.</w:t>
            </w:r>
          </w:p>
        </w:tc>
      </w:tr>
      <w:tr>
        <w:tc>
          <w:tcPr>
            <w:tcW w:type="dxa" w:w="10224"/>
            <w:shd w:fill="EFF6FF"/>
          </w:tcPr>
          <w:p>
            <w:pPr>
              <w:spacing w:before="40" w:after="40"/>
            </w:pPr>
            <w:r>
              <w:rPr>
                <w:b/>
                <w:sz w:val="18"/>
              </w:rPr>
              <w:t xml:space="preserve">What the handbook now requires: </w:t>
            </w:r>
            <w:r>
              <w:rPr>
                <w:sz w:val="18"/>
              </w:rPr>
              <w:t>The presentation/demo and the report are each assessed on a separate 100-mark rubric. Do not treat this worksheet as a request for extra features. Use it to show that the approved scope, current implementation, design, tests, repository history and report agree with one another.</w:t>
            </w:r>
          </w:p>
        </w:tc>
      </w:tr>
      <w:tr>
        <w:tc>
          <w:tcPr>
            <w:tcW w:type="dxa" w:w="10224"/>
            <w:shd w:fill="EFF6FF"/>
          </w:tcPr>
          <w:p>
            <w:pPr>
              <w:spacing w:before="40" w:after="40"/>
            </w:pPr>
            <w:r>
              <w:rPr>
                <w:b/>
                <w:sz w:val="18"/>
              </w:rPr>
              <w:t xml:space="preserve">Use of LLMs and other tools: </w:t>
            </w:r>
            <w:r>
              <w:rPr>
                <w:sz w:val="18"/>
              </w:rPr>
              <w:t>You may use tools to draft, code, analyse, diagram or edit. Disclose material use, identify the output that entered the project, explain how it was checked, and keep evidence of corrections. Every member must be able to defend the work and tools attributed to them.</w:t>
            </w:r>
          </w:p>
        </w:tc>
      </w:tr>
    </w:tbl>
    <w:p>
      <w:pPr>
        <w:pStyle w:val="Heading2"/>
        <w:keepNext/>
        <w:spacing w:before="240" w:after="80"/>
      </w:pPr>
      <w:r>
        <w:rPr>
          <w:rFonts w:ascii="Calibri" w:hAnsi="Calibri"/>
          <w:b/>
          <w:color w:val="111827"/>
          <w:sz w:val="24"/>
        </w:rPr>
        <w:t>Submission package</w:t>
      </w:r>
    </w:p>
    <w:tbl>
      <w:tblPr>
        <w:tblW w:type="auto" w:w="0"/>
        <w:tblLook w:firstColumn="1" w:firstRow="1" w:lastColumn="0" w:lastRow="0" w:noHBand="0" w:noVBand="1" w:val="04A0"/>
        <w:tblBorders>
          <w:top w:val="single" w:sz="4" w:space="0" w:color="E5E7EB"/>
          <w:bottom w:val="single" w:sz="4" w:space="0" w:color="E5E7EB"/>
          <w:insideH w:val="single" w:sz="4" w:space="0" w:color="E5E7EB"/>
          <w:insideV w:val="single" w:sz="4" w:space="0" w:color="E5E7EB"/>
          <w:left w:val="none"/>
          <w:right w:val="none"/>
        </w:tblBorders>
      </w:tblPr>
      <w:tblGrid>
        <w:gridCol w:w="5112"/>
        <w:gridCol w:w="5112"/>
      </w:tblGrid>
      <w:tr>
        <w:tc>
          <w:tcPr>
            <w:tcW w:type="dxa" w:w="5112"/>
            <w:shd w:fill="F9FAFB"/>
            <w:tcMar>
              <w:top w:w="80" w:type="dxa"/>
              <w:bottom w:w="80" w:type="dxa"/>
              <w:left w:w="120" w:type="dxa"/>
              <w:right w:w="120" w:type="dxa"/>
            </w:tcMar>
          </w:tcPr>
          <w:p>
            <w:pPr>
              <w:spacing w:before="40" w:after="40" w:line="276" w:lineRule="auto"/>
            </w:pPr>
            <w:r>
              <w:rPr>
                <w:rFonts w:ascii="Calibri" w:hAnsi="Calibri"/>
                <w:b w:val="0"/>
                <w:color w:val="000000"/>
                <w:sz w:val="18"/>
              </w:rPr>
              <w:t>☒ Completed editable worksheet</w:t>
            </w:r>
          </w:p>
        </w:tc>
        <w:tc>
          <w:tcPr>
            <w:tcW w:type="dxa" w:w="5112"/>
            <w:shd w:fill="F9FAFB"/>
            <w:tcMar>
              <w:top w:w="80" w:type="dxa"/>
              <w:bottom w:w="80" w:type="dxa"/>
              <w:left w:w="120" w:type="dxa"/>
              <w:right w:w="120" w:type="dxa"/>
            </w:tcMar>
          </w:tcPr>
          <w:p>
            <w:pPr>
              <w:spacing w:before="40" w:after="40" w:line="276" w:lineRule="auto"/>
            </w:pPr>
            <w:r>
              <w:rPr>
                <w:rFonts w:ascii="Calibri" w:hAnsi="Calibri"/>
                <w:b w:val="0"/>
                <w:color w:val="000000"/>
                <w:sz w:val="18"/>
              </w:rPr>
              <w:t>☒ FYP 1 mid report in the prescribed format</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8"/>
              </w:rPr>
              <w:t>☒ Proposal panel comments and action register</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8"/>
              </w:rPr>
              <w:t>☒ Supervisor has repository access</w:t>
            </w:r>
          </w:p>
        </w:tc>
      </w:tr>
      <w:tr>
        <w:tc>
          <w:tcPr>
            <w:tcW w:type="dxa" w:w="5112"/>
            <w:shd w:fill="F9FAFB"/>
            <w:tcMar>
              <w:top w:w="80" w:type="dxa"/>
              <w:bottom w:w="80" w:type="dxa"/>
              <w:left w:w="120" w:type="dxa"/>
              <w:right w:w="120" w:type="dxa"/>
            </w:tcMar>
          </w:tcPr>
          <w:p>
            <w:pPr>
              <w:spacing w:before="40" w:after="40" w:line="276" w:lineRule="auto"/>
            </w:pPr>
            <w:r>
              <w:rPr>
                <w:rFonts w:ascii="Calibri" w:hAnsi="Calibri"/>
                <w:b w:val="0"/>
                <w:color w:val="000000"/>
                <w:sz w:val="18"/>
              </w:rPr>
              <w:t>☒ Stable evaluation commit or release tag</w:t>
            </w:r>
          </w:p>
        </w:tc>
        <w:tc>
          <w:tcPr>
            <w:tcW w:type="dxa" w:w="5112"/>
            <w:shd w:fill="F9FAFB"/>
            <w:tcMar>
              <w:top w:w="80" w:type="dxa"/>
              <w:bottom w:w="80" w:type="dxa"/>
              <w:left w:w="120" w:type="dxa"/>
              <w:right w:w="120" w:type="dxa"/>
            </w:tcMar>
          </w:tcPr>
          <w:p>
            <w:pPr>
              <w:spacing w:before="40" w:after="40" w:line="276" w:lineRule="auto"/>
            </w:pPr>
            <w:r>
              <w:rPr>
                <w:rFonts w:ascii="Calibri" w:hAnsi="Calibri"/>
                <w:b w:val="0"/>
                <w:color w:val="000000"/>
                <w:sz w:val="18"/>
              </w:rPr>
              <w:t>☒ Runnable live prototype or build</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8"/>
              </w:rPr>
              <w:t>☒ Design artefacts connected to implementation</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8"/>
              </w:rPr>
              <w:t>☒ Tests or validation outputs for the completed module</w:t>
            </w:r>
          </w:p>
        </w:tc>
      </w:tr>
      <w:tr>
        <w:tc>
          <w:tcPr>
            <w:tcW w:type="dxa" w:w="5112"/>
            <w:shd w:fill="F9FAFB"/>
            <w:tcMar>
              <w:top w:w="80" w:type="dxa"/>
              <w:bottom w:w="80" w:type="dxa"/>
              <w:left w:w="120" w:type="dxa"/>
              <w:right w:w="120" w:type="dxa"/>
            </w:tcMar>
          </w:tcPr>
          <w:p>
            <w:pPr>
              <w:spacing w:before="40" w:after="40" w:line="276" w:lineRule="auto"/>
            </w:pPr>
            <w:r>
              <w:rPr>
                <w:rFonts w:ascii="Calibri" w:hAnsi="Calibri"/>
                <w:b w:val="0"/>
                <w:color w:val="000000"/>
                <w:sz w:val="18"/>
              </w:rPr>
              <w:t>☒ Task log and member ownership evidence</w:t>
            </w:r>
          </w:p>
        </w:tc>
        <w:tc>
          <w:tcPr>
            <w:tcW w:type="dxa" w:w="5112"/>
            <w:shd w:fill="F9FAFB"/>
            <w:tcMar>
              <w:top w:w="80" w:type="dxa"/>
              <w:bottom w:w="80" w:type="dxa"/>
              <w:left w:w="120" w:type="dxa"/>
              <w:right w:w="120" w:type="dxa"/>
            </w:tcMar>
          </w:tcPr>
          <w:p>
            <w:pPr>
              <w:spacing w:before="40" w:after="40" w:line="276" w:lineRule="auto"/>
            </w:pPr>
            <w:r>
              <w:rPr>
                <w:rFonts w:ascii="Calibri" w:hAnsi="Calibri"/>
                <w:b w:val="0"/>
                <w:color w:val="000000"/>
                <w:sz w:val="18"/>
              </w:rPr>
              <w:t>☒ Tool and external dependency disclosures</w:t>
            </w:r>
          </w:p>
        </w:tc>
      </w:tr>
    </w:tbl>
    <w:p>
      <w:pPr>
        <w:pStyle w:val="Heading2"/>
        <w:keepNext/>
        <w:spacing w:before="240" w:after="80"/>
      </w:pPr>
      <w:r>
        <w:rPr>
          <w:rFonts w:ascii="Calibri" w:hAnsi="Calibri"/>
          <w:b/>
          <w:color w:val="111827"/>
          <w:sz w:val="24"/>
        </w:rPr>
        <w:t>Project identification</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880"/>
        <w:gridCol w:w="7200"/>
      </w:tblGrid>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8"/>
              </w:rPr>
              <w:t>Project ID</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8"/>
              </w:rPr>
              <w:t>F26-FYP-057 (Registered FYP-1 Iteration 1)</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8"/>
              </w:rPr>
              <w:t>Project title</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8"/>
              </w:rPr>
              <w:t>Digital Mohalla: A Neighbourhood Resource-Sharing Platform with an Evidence-Based Trust and Risk Assurance Engine</w:t>
            </w:r>
          </w:p>
        </w:tc>
      </w:tr>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8"/>
              </w:rPr>
              <w:t>Panel number</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8"/>
              </w:rPr>
              <w:t>Panel 2 (FAST School of Computing, Islamabad Campus)</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8"/>
              </w:rPr>
              <w:t>Supervisor</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8"/>
              </w:rPr>
              <w:t>Dr. Ali Zeeshan</w:t>
            </w:r>
          </w:p>
        </w:tc>
      </w:tr>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8"/>
              </w:rPr>
              <w:t>Evaluation date</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8"/>
              </w:rPr>
              <w:t>Thursday, October 15, 2026 (Scheduled Mid-Term Evaluation)</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8"/>
              </w:rPr>
              <w:t>Repository</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8"/>
              </w:rPr>
              <w:t>https://github.com/Areeba444/DigitalMohalla</w:t>
            </w:r>
          </w:p>
        </w:tc>
      </w:tr>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8"/>
              </w:rPr>
              <w:t>Evaluation version</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8"/>
              </w:rPr>
              <w:t>Commit SHA: 093a16f2a7966a713b0de4181d67d22a8ce675ea (Release: v0.2.0-mid-freeze)</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8"/>
              </w:rPr>
              <w:t>Runnable artifact</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8"/>
              </w:rPr>
              <w:t>Live Web Client: https://digitalmohalla-web.onrender.com</w:t>
              <w:br/>
              <w:t>Live Backend API Health: https://digitalmohalla-api.onrender.com/health</w:t>
              <w:br/>
              <w:t>Local Reproducibility: docker compose up (PostgreSQL 16 + FastAPI + Expo Web)</w:t>
            </w:r>
          </w:p>
        </w:tc>
      </w:tr>
    </w:tbl>
    <w:p>
      <w:pPr>
        <w:pStyle w:val="Heading2"/>
        <w:keepNext/>
        <w:spacing w:before="240" w:after="80"/>
      </w:pPr>
      <w:r>
        <w:rPr>
          <w:rFonts w:ascii="Calibri" w:hAnsi="Calibri"/>
          <w:b/>
          <w:color w:val="111827"/>
          <w:sz w:val="24"/>
        </w:rPr>
        <w:t>Group members</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1872"/>
        <w:gridCol w:w="1872"/>
        <w:gridCol w:w="1872"/>
        <w:gridCol w:w="4464"/>
      </w:tblGrid>
      <w:tr>
        <w:tc>
          <w:tcPr>
            <w:tcW w:type="dxa" w:w="2556"/>
            <w:shd w:fill="1E3A8A"/>
            <w:tcMar>
              <w:top w:w="80" w:type="dxa"/>
              <w:bottom w:w="80" w:type="dxa"/>
              <w:left w:w="120" w:type="dxa"/>
              <w:right w:w="120" w:type="dxa"/>
            </w:tcMar>
          </w:tcPr>
          <w:p>
            <w:pPr>
              <w:spacing w:before="40" w:after="40" w:line="276" w:lineRule="auto"/>
            </w:pPr>
            <w:r>
              <w:rPr>
                <w:rFonts w:ascii="Calibri" w:hAnsi="Calibri"/>
                <w:b/>
                <w:color w:val="FFFFFF"/>
                <w:sz w:val="18"/>
              </w:rPr>
              <w:t>Member</w:t>
            </w:r>
          </w:p>
        </w:tc>
        <w:tc>
          <w:tcPr>
            <w:tcW w:type="dxa" w:w="2556"/>
            <w:shd w:fill="1E3A8A"/>
            <w:tcMar>
              <w:top w:w="80" w:type="dxa"/>
              <w:bottom w:w="80" w:type="dxa"/>
              <w:left w:w="120" w:type="dxa"/>
              <w:right w:w="120" w:type="dxa"/>
            </w:tcMar>
          </w:tcPr>
          <w:p>
            <w:pPr>
              <w:spacing w:before="40" w:after="40" w:line="276" w:lineRule="auto"/>
            </w:pPr>
            <w:r>
              <w:rPr>
                <w:rFonts w:ascii="Calibri" w:hAnsi="Calibri"/>
                <w:b/>
                <w:color w:val="FFFFFF"/>
                <w:sz w:val="18"/>
              </w:rPr>
              <w:t>Registration number</w:t>
            </w:r>
          </w:p>
        </w:tc>
        <w:tc>
          <w:tcPr>
            <w:tcW w:type="dxa" w:w="2556"/>
            <w:shd w:fill="1E3A8A"/>
            <w:tcMar>
              <w:top w:w="80" w:type="dxa"/>
              <w:bottom w:w="80" w:type="dxa"/>
              <w:left w:w="120" w:type="dxa"/>
              <w:right w:w="120" w:type="dxa"/>
            </w:tcMar>
          </w:tcPr>
          <w:p>
            <w:pPr>
              <w:spacing w:before="40" w:after="40" w:line="276" w:lineRule="auto"/>
            </w:pPr>
            <w:r>
              <w:rPr>
                <w:rFonts w:ascii="Calibri" w:hAnsi="Calibri"/>
                <w:b/>
                <w:color w:val="FFFFFF"/>
                <w:sz w:val="18"/>
              </w:rPr>
              <w:t>Repository identity</w:t>
            </w:r>
          </w:p>
        </w:tc>
        <w:tc>
          <w:tcPr>
            <w:tcW w:type="dxa" w:w="2556"/>
            <w:shd w:fill="1E3A8A"/>
            <w:tcMar>
              <w:top w:w="80" w:type="dxa"/>
              <w:bottom w:w="80" w:type="dxa"/>
              <w:left w:w="120" w:type="dxa"/>
              <w:right w:w="120" w:type="dxa"/>
            </w:tcMar>
          </w:tcPr>
          <w:p>
            <w:pPr>
              <w:spacing w:before="40" w:after="40" w:line="276" w:lineRule="auto"/>
            </w:pPr>
            <w:r>
              <w:rPr>
                <w:rFonts w:ascii="Calibri" w:hAnsi="Calibri"/>
                <w:b/>
                <w:color w:val="FFFFFF"/>
                <w:sz w:val="18"/>
              </w:rPr>
              <w:t>Current technical ownership</w:t>
            </w:r>
          </w:p>
        </w:tc>
      </w:tr>
      <w:tr>
        <w:tc>
          <w:tcPr>
            <w:tcW w:type="dxa" w:w="2556"/>
            <w:shd w:fill="F9FAFB"/>
            <w:tcMar>
              <w:top w:w="80" w:type="dxa"/>
              <w:bottom w:w="80" w:type="dxa"/>
              <w:left w:w="120" w:type="dxa"/>
              <w:right w:w="120" w:type="dxa"/>
            </w:tcMar>
          </w:tcPr>
          <w:p>
            <w:pPr>
              <w:spacing w:before="40" w:after="40" w:line="276" w:lineRule="auto"/>
            </w:pPr>
            <w:r>
              <w:rPr>
                <w:rFonts w:ascii="Calibri" w:hAnsi="Calibri"/>
                <w:b/>
                <w:color w:val="000000"/>
                <w:sz w:val="17"/>
              </w:rPr>
              <w:t>Fatima Khursheed</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23i-0746</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ftmkhursheed2</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Student 1 (S1): Borrowing lifecycle aggregate, append-only event store, PostgreSQL 16 schema, bounded k-hop graph traversal, GitHub Actions CI pipeline</w:t>
            </w:r>
          </w:p>
        </w:tc>
      </w:tr>
      <w:tr>
        <w:tc>
          <w:tcPr>
            <w:tcW w:type="dxa" w:w="2556"/>
            <w:shd w:fill="FFFFFF"/>
            <w:tcMar>
              <w:top w:w="80" w:type="dxa"/>
              <w:bottom w:w="80" w:type="dxa"/>
              <w:left w:w="120" w:type="dxa"/>
              <w:right w:w="120" w:type="dxa"/>
            </w:tcMar>
          </w:tcPr>
          <w:p>
            <w:pPr>
              <w:spacing w:before="40" w:after="40" w:line="276" w:lineRule="auto"/>
            </w:pPr>
            <w:r>
              <w:rPr>
                <w:rFonts w:ascii="Calibri" w:hAnsi="Calibri"/>
                <w:b/>
                <w:color w:val="000000"/>
                <w:sz w:val="17"/>
              </w:rPr>
              <w:t>Areeba Javed</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7"/>
              </w:rPr>
              <w:t>23i-0570</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7"/>
              </w:rPr>
              <w:t>Areeba444</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7"/>
              </w:rPr>
              <w:t>Student 2 (S2): Bayesian Beta posterior estimator, contextual similarity weighting, decision policy rules R1–R9, adversarial manipulation detection heuristics</w:t>
            </w:r>
          </w:p>
        </w:tc>
      </w:tr>
      <w:tr>
        <w:tc>
          <w:tcPr>
            <w:tcW w:type="dxa" w:w="2556"/>
            <w:shd w:fill="F9FAFB"/>
            <w:tcMar>
              <w:top w:w="80" w:type="dxa"/>
              <w:bottom w:w="80" w:type="dxa"/>
              <w:left w:w="120" w:type="dxa"/>
              <w:right w:w="120" w:type="dxa"/>
            </w:tcMar>
          </w:tcPr>
          <w:p>
            <w:pPr>
              <w:spacing w:before="40" w:after="40" w:line="276" w:lineRule="auto"/>
            </w:pPr>
            <w:r>
              <w:rPr>
                <w:rFonts w:ascii="Calibri" w:hAnsi="Calibri"/>
                <w:b/>
                <w:color w:val="000000"/>
                <w:sz w:val="17"/>
              </w:rPr>
              <w:t>Minahil Kashif</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23i-0554</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mina-hill</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Student 3 (S3): React Native (Expo SDK 52) presentation client, 3-layer lender evidence dashboard, synthetic scenario generator, CD cloud hosting architecture</w:t>
            </w:r>
          </w:p>
        </w:tc>
      </w:tr>
    </w:tbl>
    <w:p>
      <w:pPr>
        <w:pStyle w:val="Heading1"/>
        <w:keepNext/>
        <w:spacing w:before="240" w:after="80"/>
      </w:pPr>
      <w:r>
        <w:rPr>
          <w:rFonts w:ascii="Calibri" w:hAnsi="Calibri"/>
          <w:b/>
          <w:color w:val="1E3A8A"/>
          <w:sz w:val="28"/>
        </w:rPr>
        <w:t>1 Official evaluation map</w:t>
      </w:r>
    </w:p>
    <w:p>
      <w:r>
        <w:rPr>
          <w:i/>
          <w:sz w:val="18"/>
        </w:rPr>
        <w:t>Use these tables as a preparation map. Students do not award marks. The supervisor scores the official criteria after reviewing the report and observing the live evaluation.</w:t>
      </w:r>
    </w:p>
    <w:p>
      <w:pPr>
        <w:pStyle w:val="Heading2"/>
        <w:keepNext/>
        <w:spacing w:before="240" w:after="80"/>
      </w:pPr>
      <w:r>
        <w:rPr>
          <w:rFonts w:ascii="Calibri" w:hAnsi="Calibri"/>
          <w:b/>
          <w:color w:val="111827"/>
          <w:sz w:val="24"/>
        </w:rPr>
        <w:t>Form 2 Presentation and Demo Evaluation</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3168"/>
        <w:gridCol w:w="1584"/>
        <w:gridCol w:w="864"/>
        <w:gridCol w:w="4464"/>
      </w:tblGrid>
      <w:tr>
        <w:tc>
          <w:tcPr>
            <w:tcW w:type="dxa" w:w="2556"/>
            <w:shd w:fill="1E3A8A"/>
            <w:tcMar>
              <w:top w:w="80" w:type="dxa"/>
              <w:bottom w:w="80" w:type="dxa"/>
              <w:left w:w="120" w:type="dxa"/>
              <w:right w:w="120" w:type="dxa"/>
            </w:tcMar>
          </w:tcPr>
          <w:p>
            <w:pPr>
              <w:spacing w:before="40" w:after="40" w:line="276" w:lineRule="auto"/>
            </w:pPr>
            <w:r>
              <w:rPr>
                <w:rFonts w:ascii="Calibri" w:hAnsi="Calibri"/>
                <w:b/>
                <w:color w:val="FFFFFF"/>
                <w:sz w:val="17"/>
              </w:rPr>
              <w:t>Official criterion</w:t>
            </w:r>
          </w:p>
        </w:tc>
        <w:tc>
          <w:tcPr>
            <w:tcW w:type="dxa" w:w="2556"/>
            <w:shd w:fill="1E3A8A"/>
            <w:tcMar>
              <w:top w:w="80" w:type="dxa"/>
              <w:bottom w:w="80" w:type="dxa"/>
              <w:left w:w="120" w:type="dxa"/>
              <w:right w:w="120" w:type="dxa"/>
            </w:tcMar>
          </w:tcPr>
          <w:p>
            <w:pPr>
              <w:spacing w:before="40" w:after="40" w:line="276" w:lineRule="auto"/>
            </w:pPr>
            <w:r>
              <w:rPr>
                <w:rFonts w:ascii="Calibri" w:hAnsi="Calibri"/>
                <w:b/>
                <w:color w:val="FFFFFF"/>
                <w:sz w:val="17"/>
              </w:rPr>
              <w:t>CLO</w:t>
            </w:r>
          </w:p>
        </w:tc>
        <w:tc>
          <w:tcPr>
            <w:tcW w:type="dxa" w:w="2556"/>
            <w:shd w:fill="1E3A8A"/>
            <w:tcMar>
              <w:top w:w="80" w:type="dxa"/>
              <w:bottom w:w="80" w:type="dxa"/>
              <w:left w:w="120" w:type="dxa"/>
              <w:right w:w="120" w:type="dxa"/>
            </w:tcMar>
          </w:tcPr>
          <w:p>
            <w:pPr>
              <w:spacing w:before="40" w:after="40" w:line="276" w:lineRule="auto"/>
            </w:pPr>
            <w:r>
              <w:rPr>
                <w:rFonts w:ascii="Calibri" w:hAnsi="Calibri"/>
                <w:b/>
                <w:color w:val="FFFFFF"/>
                <w:sz w:val="17"/>
              </w:rPr>
              <w:t>Max</w:t>
            </w:r>
          </w:p>
        </w:tc>
        <w:tc>
          <w:tcPr>
            <w:tcW w:type="dxa" w:w="2556"/>
            <w:shd w:fill="1E3A8A"/>
            <w:tcMar>
              <w:top w:w="80" w:type="dxa"/>
              <w:bottom w:w="80" w:type="dxa"/>
              <w:left w:w="120" w:type="dxa"/>
              <w:right w:w="120" w:type="dxa"/>
            </w:tcMar>
          </w:tcPr>
          <w:p>
            <w:pPr>
              <w:spacing w:before="40" w:after="40" w:line="276" w:lineRule="auto"/>
            </w:pPr>
            <w:r>
              <w:rPr>
                <w:rFonts w:ascii="Calibri" w:hAnsi="Calibri"/>
                <w:b/>
                <w:color w:val="FFFFFF"/>
                <w:sz w:val="17"/>
              </w:rPr>
              <w:t>Evidence the student submission must make easy to verify</w:t>
            </w:r>
          </w:p>
        </w:tc>
      </w:tr>
      <w:tr>
        <w:tc>
          <w:tcPr>
            <w:tcW w:type="dxa" w:w="2556"/>
            <w:shd w:fill="F9FAFB"/>
            <w:tcMar>
              <w:top w:w="80" w:type="dxa"/>
              <w:bottom w:w="80" w:type="dxa"/>
              <w:left w:w="120" w:type="dxa"/>
              <w:right w:w="120" w:type="dxa"/>
            </w:tcMar>
          </w:tcPr>
          <w:p>
            <w:pPr>
              <w:spacing w:before="40" w:after="40" w:line="276" w:lineRule="auto"/>
            </w:pPr>
            <w:r>
              <w:rPr>
                <w:rFonts w:ascii="Calibri" w:hAnsi="Calibri"/>
                <w:b/>
                <w:color w:val="000000"/>
                <w:sz w:val="17"/>
              </w:rPr>
              <w:t>Previous proposal actions addressed</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FYP1-CLO6</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10</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Panel action register shows each required change, status and evidence link (Section 2, Table 2.1). All 6 panel directives verified.</w:t>
            </w:r>
          </w:p>
        </w:tc>
      </w:tr>
      <w:tr>
        <w:tc>
          <w:tcPr>
            <w:tcW w:type="dxa" w:w="2556"/>
            <w:shd w:fill="FFFFFF"/>
            <w:tcMar>
              <w:top w:w="80" w:type="dxa"/>
              <w:bottom w:w="80" w:type="dxa"/>
              <w:left w:w="120" w:type="dxa"/>
              <w:right w:w="120" w:type="dxa"/>
            </w:tcMar>
          </w:tcPr>
          <w:p>
            <w:pPr>
              <w:spacing w:before="40" w:after="40" w:line="276" w:lineRule="auto"/>
            </w:pPr>
            <w:r>
              <w:rPr>
                <w:rFonts w:ascii="Calibri" w:hAnsi="Calibri"/>
                <w:b/>
                <w:color w:val="000000"/>
                <w:sz w:val="17"/>
              </w:rPr>
              <w:t>Iteration plan and work breakdown progress</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7"/>
              </w:rPr>
              <w:t>FYP1-CLO2</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7"/>
              </w:rPr>
              <w:t>10</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7"/>
              </w:rPr>
              <w:t>Planned milestone completed, or delay is justified with a recovery plan. Slices A &amp; B fully completed; Slice C in progress for Thursday.</w:t>
            </w:r>
          </w:p>
        </w:tc>
      </w:tr>
      <w:tr>
        <w:tc>
          <w:tcPr>
            <w:tcW w:type="dxa" w:w="2556"/>
            <w:shd w:fill="F9FAFB"/>
            <w:tcMar>
              <w:top w:w="80" w:type="dxa"/>
              <w:bottom w:w="80" w:type="dxa"/>
              <w:left w:w="120" w:type="dxa"/>
              <w:right w:w="120" w:type="dxa"/>
            </w:tcMar>
          </w:tcPr>
          <w:p>
            <w:pPr>
              <w:spacing w:before="40" w:after="40" w:line="276" w:lineRule="auto"/>
            </w:pPr>
            <w:r>
              <w:rPr>
                <w:rFonts w:ascii="Calibri" w:hAnsi="Calibri"/>
                <w:b/>
                <w:color w:val="000000"/>
                <w:sz w:val="17"/>
              </w:rPr>
              <w:t>Live prototype with core module demo</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FYP1-CLO4</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25</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Meaningful module works live: full request-to-return flow, Bayesian assurance engine, and PostgreSQL concurrency race condition.</w:t>
            </w:r>
          </w:p>
        </w:tc>
      </w:tr>
      <w:tr>
        <w:tc>
          <w:tcPr>
            <w:tcW w:type="dxa" w:w="2556"/>
            <w:shd w:fill="FFFFFF"/>
            <w:tcMar>
              <w:top w:w="80" w:type="dxa"/>
              <w:bottom w:w="80" w:type="dxa"/>
              <w:left w:w="120" w:type="dxa"/>
              <w:right w:w="120" w:type="dxa"/>
            </w:tcMar>
          </w:tcPr>
          <w:p>
            <w:pPr>
              <w:spacing w:before="40" w:after="40" w:line="276" w:lineRule="auto"/>
            </w:pPr>
            <w:r>
              <w:rPr>
                <w:rFonts w:ascii="Calibri" w:hAnsi="Calibri"/>
                <w:b/>
                <w:color w:val="000000"/>
                <w:sz w:val="17"/>
              </w:rPr>
              <w:t>Requirements and acceptance criteria quality</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7"/>
              </w:rPr>
              <w:t>FYP1-CLO2</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7"/>
              </w:rPr>
              <w:t>10</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7"/>
              </w:rPr>
              <w:t>User interactions, FRs/NFRs and acceptance checks are technically correct and aligned with scope (FR-A, FR-L, FR-T, FR-M).</w:t>
            </w:r>
          </w:p>
        </w:tc>
      </w:tr>
      <w:tr>
        <w:tc>
          <w:tcPr>
            <w:tcW w:type="dxa" w:w="2556"/>
            <w:shd w:fill="F9FAFB"/>
            <w:tcMar>
              <w:top w:w="80" w:type="dxa"/>
              <w:bottom w:w="80" w:type="dxa"/>
              <w:left w:w="120" w:type="dxa"/>
              <w:right w:w="120" w:type="dxa"/>
            </w:tcMar>
          </w:tcPr>
          <w:p>
            <w:pPr>
              <w:spacing w:before="40" w:after="40" w:line="276" w:lineRule="auto"/>
            </w:pPr>
            <w:r>
              <w:rPr>
                <w:rFonts w:ascii="Calibri" w:hAnsi="Calibri"/>
                <w:b/>
                <w:color w:val="000000"/>
                <w:sz w:val="17"/>
              </w:rPr>
              <w:t>Design artefacts and design evolution</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FYP1-CLO3</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15</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13 UML 2.5 architecture diagrams connect to implementation; ADR-0001 through ADR-0008 justify design evolution since proposal.</w:t>
            </w:r>
          </w:p>
        </w:tc>
      </w:tr>
      <w:tr>
        <w:tc>
          <w:tcPr>
            <w:tcW w:type="dxa" w:w="2556"/>
            <w:shd w:fill="FFFFFF"/>
            <w:tcMar>
              <w:top w:w="80" w:type="dxa"/>
              <w:bottom w:w="80" w:type="dxa"/>
              <w:left w:w="120" w:type="dxa"/>
              <w:right w:w="120" w:type="dxa"/>
            </w:tcMar>
          </w:tcPr>
          <w:p>
            <w:pPr>
              <w:spacing w:before="40" w:after="40" w:line="276" w:lineRule="auto"/>
            </w:pPr>
            <w:r>
              <w:rPr>
                <w:rFonts w:ascii="Calibri" w:hAnsi="Calibri"/>
                <w:b/>
                <w:color w:val="000000"/>
                <w:sz w:val="17"/>
              </w:rPr>
              <w:t>Repository, milestone and member evidence</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7"/>
              </w:rPr>
              <w:t>FYP1-CLO6</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7"/>
              </w:rPr>
              <w:t>10</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7"/>
              </w:rPr>
              <w:t>Tagged code (v0.2.0-mid-freeze), commit timeline, PR reviews, task log and individual member ownership clearly visible.</w:t>
            </w:r>
          </w:p>
        </w:tc>
      </w:tr>
      <w:tr>
        <w:tc>
          <w:tcPr>
            <w:tcW w:type="dxa" w:w="2556"/>
            <w:shd w:fill="F9FAFB"/>
            <w:tcMar>
              <w:top w:w="80" w:type="dxa"/>
              <w:bottom w:w="80" w:type="dxa"/>
              <w:left w:w="120" w:type="dxa"/>
              <w:right w:w="120" w:type="dxa"/>
            </w:tcMar>
          </w:tcPr>
          <w:p>
            <w:pPr>
              <w:spacing w:before="40" w:after="40" w:line="276" w:lineRule="auto"/>
            </w:pPr>
            <w:r>
              <w:rPr>
                <w:rFonts w:ascii="Calibri" w:hAnsi="Calibri"/>
                <w:b/>
                <w:color w:val="000000"/>
                <w:sz w:val="17"/>
              </w:rPr>
              <w:t>Testing and early validation</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FYP1-CLO4</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10</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390+ automated tests passing across 8 domains; Hypothesis property tests and PostgreSQL concurrent collision drill fully documented.</w:t>
            </w:r>
          </w:p>
        </w:tc>
      </w:tr>
      <w:tr>
        <w:tc>
          <w:tcPr>
            <w:tcW w:type="dxa" w:w="2556"/>
            <w:shd w:fill="FFFFFF"/>
            <w:tcMar>
              <w:top w:w="80" w:type="dxa"/>
              <w:bottom w:w="80" w:type="dxa"/>
              <w:left w:w="120" w:type="dxa"/>
              <w:right w:w="120" w:type="dxa"/>
            </w:tcMar>
          </w:tcPr>
          <w:p>
            <w:pPr>
              <w:spacing w:before="40" w:after="40" w:line="276" w:lineRule="auto"/>
            </w:pPr>
            <w:r>
              <w:rPr>
                <w:rFonts w:ascii="Calibri" w:hAnsi="Calibri"/>
                <w:b/>
                <w:color w:val="000000"/>
                <w:sz w:val="17"/>
              </w:rPr>
              <w:t>Team dynamics and tool ownership</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7"/>
              </w:rPr>
              <w:t>FYP1-CLO5</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7"/>
              </w:rPr>
              <w:t>10</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7"/>
              </w:rPr>
              <w:t>Bi-weekly supervisory logs, transparent AI usage disclosures in docs/ai-usage-log.md, and individual module defense ready.</w:t>
            </w:r>
          </w:p>
        </w:tc>
      </w:tr>
    </w:tbl>
    <w:p>
      <w:r>
        <w:rPr>
          <w:b/>
          <w:sz w:val="18"/>
        </w:rPr>
        <w:t>Form 2 Total Marks: 100 | Traceable evidence prepared for every single criterion above.</w:t>
      </w:r>
    </w:p>
    <w:p>
      <w:pPr>
        <w:pStyle w:val="Heading2"/>
        <w:keepNext/>
        <w:spacing w:before="240" w:after="80"/>
      </w:pPr>
      <w:r>
        <w:rPr>
          <w:rFonts w:ascii="Calibri" w:hAnsi="Calibri"/>
          <w:b/>
          <w:color w:val="111827"/>
          <w:sz w:val="24"/>
        </w:rPr>
        <w:t>Form 3 Report Evaluation</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3168"/>
        <w:gridCol w:w="1584"/>
        <w:gridCol w:w="864"/>
        <w:gridCol w:w="4464"/>
      </w:tblGrid>
      <w:tr>
        <w:tc>
          <w:tcPr>
            <w:tcW w:type="dxa" w:w="2556"/>
            <w:shd w:fill="1E3A8A"/>
            <w:tcMar>
              <w:top w:w="80" w:type="dxa"/>
              <w:bottom w:w="80" w:type="dxa"/>
              <w:left w:w="120" w:type="dxa"/>
              <w:right w:w="120" w:type="dxa"/>
            </w:tcMar>
          </w:tcPr>
          <w:p>
            <w:pPr>
              <w:spacing w:before="40" w:after="40" w:line="276" w:lineRule="auto"/>
            </w:pPr>
            <w:r>
              <w:rPr>
                <w:rFonts w:ascii="Calibri" w:hAnsi="Calibri"/>
                <w:b/>
                <w:color w:val="FFFFFF"/>
                <w:sz w:val="17"/>
              </w:rPr>
              <w:t>Official criterion</w:t>
            </w:r>
          </w:p>
        </w:tc>
        <w:tc>
          <w:tcPr>
            <w:tcW w:type="dxa" w:w="2556"/>
            <w:shd w:fill="1E3A8A"/>
            <w:tcMar>
              <w:top w:w="80" w:type="dxa"/>
              <w:bottom w:w="80" w:type="dxa"/>
              <w:left w:w="120" w:type="dxa"/>
              <w:right w:w="120" w:type="dxa"/>
            </w:tcMar>
          </w:tcPr>
          <w:p>
            <w:pPr>
              <w:spacing w:before="40" w:after="40" w:line="276" w:lineRule="auto"/>
            </w:pPr>
            <w:r>
              <w:rPr>
                <w:rFonts w:ascii="Calibri" w:hAnsi="Calibri"/>
                <w:b/>
                <w:color w:val="FFFFFF"/>
                <w:sz w:val="17"/>
              </w:rPr>
              <w:t>CLO</w:t>
            </w:r>
          </w:p>
        </w:tc>
        <w:tc>
          <w:tcPr>
            <w:tcW w:type="dxa" w:w="2556"/>
            <w:shd w:fill="1E3A8A"/>
            <w:tcMar>
              <w:top w:w="80" w:type="dxa"/>
              <w:bottom w:w="80" w:type="dxa"/>
              <w:left w:w="120" w:type="dxa"/>
              <w:right w:w="120" w:type="dxa"/>
            </w:tcMar>
          </w:tcPr>
          <w:p>
            <w:pPr>
              <w:spacing w:before="40" w:after="40" w:line="276" w:lineRule="auto"/>
            </w:pPr>
            <w:r>
              <w:rPr>
                <w:rFonts w:ascii="Calibri" w:hAnsi="Calibri"/>
                <w:b/>
                <w:color w:val="FFFFFF"/>
                <w:sz w:val="17"/>
              </w:rPr>
              <w:t>Max</w:t>
            </w:r>
          </w:p>
        </w:tc>
        <w:tc>
          <w:tcPr>
            <w:tcW w:type="dxa" w:w="2556"/>
            <w:shd w:fill="1E3A8A"/>
            <w:tcMar>
              <w:top w:w="80" w:type="dxa"/>
              <w:bottom w:w="80" w:type="dxa"/>
              <w:left w:w="120" w:type="dxa"/>
              <w:right w:w="120" w:type="dxa"/>
            </w:tcMar>
          </w:tcPr>
          <w:p>
            <w:pPr>
              <w:spacing w:before="40" w:after="40" w:line="276" w:lineRule="auto"/>
            </w:pPr>
            <w:r>
              <w:rPr>
                <w:rFonts w:ascii="Calibri" w:hAnsi="Calibri"/>
                <w:b/>
                <w:color w:val="FFFFFF"/>
                <w:sz w:val="17"/>
              </w:rPr>
              <w:t>Evidence the student submission must make easy to verify</w:t>
            </w:r>
          </w:p>
        </w:tc>
      </w:tr>
      <w:tr>
        <w:tc>
          <w:tcPr>
            <w:tcW w:type="dxa" w:w="2556"/>
            <w:shd w:fill="F9FAFB"/>
            <w:tcMar>
              <w:top w:w="80" w:type="dxa"/>
              <w:bottom w:w="80" w:type="dxa"/>
              <w:left w:w="120" w:type="dxa"/>
              <w:right w:w="120" w:type="dxa"/>
            </w:tcMar>
          </w:tcPr>
          <w:p>
            <w:pPr>
              <w:spacing w:before="40" w:after="40" w:line="276" w:lineRule="auto"/>
            </w:pPr>
            <w:r>
              <w:rPr>
                <w:rFonts w:ascii="Calibri" w:hAnsi="Calibri"/>
                <w:b/>
                <w:color w:val="000000"/>
                <w:sz w:val="17"/>
              </w:rPr>
              <w:t>Report format and required artefacts present</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FYP1-CLO2</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5</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Prescribed FAST-NUCES BS format strictly followed: 1-page cover, declarations, 60 pages, IEEE references, 13 UML diagrams.</w:t>
            </w:r>
          </w:p>
        </w:tc>
      </w:tr>
      <w:tr>
        <w:tc>
          <w:tcPr>
            <w:tcW w:type="dxa" w:w="2556"/>
            <w:shd w:fill="FFFFFF"/>
            <w:tcMar>
              <w:top w:w="80" w:type="dxa"/>
              <w:bottom w:w="80" w:type="dxa"/>
              <w:left w:w="120" w:type="dxa"/>
              <w:right w:w="120" w:type="dxa"/>
            </w:tcMar>
          </w:tcPr>
          <w:p>
            <w:pPr>
              <w:spacing w:before="40" w:after="40" w:line="276" w:lineRule="auto"/>
            </w:pPr>
            <w:r>
              <w:rPr>
                <w:rFonts w:ascii="Calibri" w:hAnsi="Calibri"/>
                <w:b/>
                <w:color w:val="000000"/>
                <w:sz w:val="17"/>
              </w:rPr>
              <w:t>Problem formulation, R&amp;D and existing solution analysis</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7"/>
              </w:rPr>
              <w:t>FYP1-CLO1</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7"/>
              </w:rPr>
              <w:t>15</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7"/>
              </w:rPr>
              <w:t>Chapter 2 synthesizes 22 peer-reviewed IEEE/ACM papers; analyzes Peerby/Fat Llama/Olx; identifies information asymmetry gap.</w:t>
            </w:r>
          </w:p>
        </w:tc>
      </w:tr>
      <w:tr>
        <w:tc>
          <w:tcPr>
            <w:tcW w:type="dxa" w:w="2556"/>
            <w:shd w:fill="F9FAFB"/>
            <w:tcMar>
              <w:top w:w="80" w:type="dxa"/>
              <w:bottom w:w="80" w:type="dxa"/>
              <w:left w:w="120" w:type="dxa"/>
              <w:right w:w="120" w:type="dxa"/>
            </w:tcMar>
          </w:tcPr>
          <w:p>
            <w:pPr>
              <w:spacing w:before="40" w:after="40" w:line="276" w:lineRule="auto"/>
            </w:pPr>
            <w:r>
              <w:rPr>
                <w:rFonts w:ascii="Calibri" w:hAnsi="Calibri"/>
                <w:b/>
                <w:color w:val="000000"/>
                <w:sz w:val="17"/>
              </w:rPr>
              <w:t>Project vision, scope, modules and success criteria</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FYP1-CLO2</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10</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Chapter 1 &amp; 3 establish scope boundaries (Slices A–C), explicit exclusions (escrow/GPS), and measurable success criteria.</w:t>
            </w:r>
          </w:p>
        </w:tc>
      </w:tr>
      <w:tr>
        <w:tc>
          <w:tcPr>
            <w:tcW w:type="dxa" w:w="2556"/>
            <w:shd w:fill="FFFFFF"/>
            <w:tcMar>
              <w:top w:w="80" w:type="dxa"/>
              <w:bottom w:w="80" w:type="dxa"/>
              <w:left w:w="120" w:type="dxa"/>
              <w:right w:w="120" w:type="dxa"/>
            </w:tcMar>
          </w:tcPr>
          <w:p>
            <w:pPr>
              <w:spacing w:before="40" w:after="40" w:line="276" w:lineRule="auto"/>
            </w:pPr>
            <w:r>
              <w:rPr>
                <w:rFonts w:ascii="Calibri" w:hAnsi="Calibri"/>
                <w:b/>
                <w:color w:val="000000"/>
                <w:sz w:val="17"/>
              </w:rPr>
              <w:t>Requirements and acceptance criteria</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7"/>
              </w:rPr>
              <w:t>FYP1-CLO2</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7"/>
              </w:rPr>
              <w:t>15</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7"/>
              </w:rPr>
              <w:t>Chapter 4 details 11 FRs, 6 NFRs, and 20 synthetic acceptance scenarios with verifiable Pass/Fail verification oracles.</w:t>
            </w:r>
          </w:p>
        </w:tc>
      </w:tr>
      <w:tr>
        <w:tc>
          <w:tcPr>
            <w:tcW w:type="dxa" w:w="2556"/>
            <w:shd w:fill="F9FAFB"/>
            <w:tcMar>
              <w:top w:w="80" w:type="dxa"/>
              <w:bottom w:w="80" w:type="dxa"/>
              <w:left w:w="120" w:type="dxa"/>
              <w:right w:w="120" w:type="dxa"/>
            </w:tcMar>
          </w:tcPr>
          <w:p>
            <w:pPr>
              <w:spacing w:before="40" w:after="40" w:line="276" w:lineRule="auto"/>
            </w:pPr>
            <w:r>
              <w:rPr>
                <w:rFonts w:ascii="Calibri" w:hAnsi="Calibri"/>
                <w:b/>
                <w:color w:val="000000"/>
                <w:sz w:val="17"/>
              </w:rPr>
              <w:t>Architecture and component/interface design</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FYP1-CLO3</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15</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Chapter 5 presents Clean Architecture 5-layer stack, component boundaries, domain interfaces (IAssess, IEventStore), and 8 ADRs.</w:t>
            </w:r>
          </w:p>
        </w:tc>
      </w:tr>
      <w:tr>
        <w:tc>
          <w:tcPr>
            <w:tcW w:type="dxa" w:w="2556"/>
            <w:shd w:fill="FFFFFF"/>
            <w:tcMar>
              <w:top w:w="80" w:type="dxa"/>
              <w:bottom w:w="80" w:type="dxa"/>
              <w:left w:w="120" w:type="dxa"/>
              <w:right w:w="120" w:type="dxa"/>
            </w:tcMar>
          </w:tcPr>
          <w:p>
            <w:pPr>
              <w:spacing w:before="40" w:after="40" w:line="276" w:lineRule="auto"/>
            </w:pPr>
            <w:r>
              <w:rPr>
                <w:rFonts w:ascii="Calibri" w:hAnsi="Calibri"/>
                <w:b/>
                <w:color w:val="000000"/>
                <w:sz w:val="17"/>
              </w:rPr>
              <w:t>Data/process/behavior design</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7"/>
              </w:rPr>
              <w:t>FYP1-CLO3</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7"/>
              </w:rPr>
              <w:t>10</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7"/>
              </w:rPr>
              <w:t>Chapter 5 &amp; Appendices include ERD v2.3, append-only event schema, borrowing state machine (14 valid / 280 invalid states), and DFD L0.</w:t>
            </w:r>
          </w:p>
        </w:tc>
      </w:tr>
      <w:tr>
        <w:tc>
          <w:tcPr>
            <w:tcW w:type="dxa" w:w="2556"/>
            <w:shd w:fill="F9FAFB"/>
            <w:tcMar>
              <w:top w:w="80" w:type="dxa"/>
              <w:bottom w:w="80" w:type="dxa"/>
              <w:left w:w="120" w:type="dxa"/>
              <w:right w:w="120" w:type="dxa"/>
            </w:tcMar>
          </w:tcPr>
          <w:p>
            <w:pPr>
              <w:spacing w:before="40" w:after="40" w:line="276" w:lineRule="auto"/>
            </w:pPr>
            <w:r>
              <w:rPr>
                <w:rFonts w:ascii="Calibri" w:hAnsi="Calibri"/>
                <w:b/>
                <w:color w:val="000000"/>
                <w:sz w:val="17"/>
              </w:rPr>
              <w:t>Implementation documentation of completed module</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FYP1-CLO4</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15</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7"/>
              </w:rPr>
              <w:t>Chapter 6 details Slices A &amp; B setup, domain aggregate code, Bayesian Beta posterior math, k-hop graph search, and Expo UI.</w:t>
            </w:r>
          </w:p>
        </w:tc>
      </w:tr>
      <w:tr>
        <w:tc>
          <w:tcPr>
            <w:tcW w:type="dxa" w:w="2556"/>
            <w:shd w:fill="FFFFFF"/>
            <w:tcMar>
              <w:top w:w="80" w:type="dxa"/>
              <w:bottom w:w="80" w:type="dxa"/>
              <w:left w:w="120" w:type="dxa"/>
              <w:right w:w="120" w:type="dxa"/>
            </w:tcMar>
          </w:tcPr>
          <w:p>
            <w:pPr>
              <w:spacing w:before="40" w:after="40" w:line="276" w:lineRule="auto"/>
            </w:pPr>
            <w:r>
              <w:rPr>
                <w:rFonts w:ascii="Calibri" w:hAnsi="Calibri"/>
                <w:b/>
                <w:color w:val="000000"/>
                <w:sz w:val="17"/>
              </w:rPr>
              <w:t>Testing/validation plan and tool/risk disclosure</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7"/>
              </w:rPr>
              <w:t>FYP1-CLO5</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7"/>
              </w:rPr>
              <w:t>15</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7"/>
              </w:rPr>
              <w:t>Chapters 7 &amp; 8 document 390+ test results, Hypothesis property tests, risk mitigation matrix, Form 13 dependency registry, and AI log.</w:t>
            </w:r>
          </w:p>
        </w:tc>
      </w:tr>
    </w:tbl>
    <w:p>
      <w:r>
        <w:rPr>
          <w:b/>
          <w:sz w:val="18"/>
        </w:rPr>
        <w:t>Form 3 Total Marks: 100 | Traceable evidence prepared for every single criterion above.</w:t>
      </w:r>
    </w:p>
    <w:p>
      <w:pPr>
        <w:pStyle w:val="Heading1"/>
        <w:keepNext/>
        <w:spacing w:before="240" w:after="80"/>
      </w:pPr>
      <w:r>
        <w:rPr>
          <w:rFonts w:ascii="Calibri" w:hAnsi="Calibri"/>
          <w:b/>
          <w:color w:val="1E3A8A"/>
          <w:sz w:val="28"/>
        </w:rPr>
        <w:t>2 Proposal action register</w:t>
      </w:r>
    </w:p>
    <w:p>
      <w:r>
        <w:rPr>
          <w:i/>
          <w:sz w:val="18"/>
        </w:rPr>
        <w:t>Include every required modification from the proposal decision. Do not list only the changes that are already complete.</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160"/>
        <w:gridCol w:w="2304"/>
        <w:gridCol w:w="1152"/>
        <w:gridCol w:w="1008"/>
        <w:gridCol w:w="1728"/>
        <w:gridCol w:w="1728"/>
      </w:tblGrid>
      <w:tr>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Panel comment or required change</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Decision and rationale</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Owner</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Status</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Evidence link</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Next action and date</w:t>
            </w:r>
          </w:p>
        </w:tc>
      </w:tr>
      <w:tr>
        <w:tc>
          <w:tcPr>
            <w:tcW w:type="dxa" w:w="1704"/>
            <w:shd w:fill="F9FAFB"/>
            <w:tcMar>
              <w:top w:w="80" w:type="dxa"/>
              <w:bottom w:w="80" w:type="dxa"/>
              <w:left w:w="120" w:type="dxa"/>
              <w:right w:w="120" w:type="dxa"/>
            </w:tcMar>
          </w:tcPr>
          <w:p>
            <w:pPr>
              <w:spacing w:before="40" w:after="40" w:line="276" w:lineRule="auto"/>
            </w:pPr>
            <w:r>
              <w:rPr>
                <w:rFonts w:ascii="Calibri" w:hAnsi="Calibri"/>
                <w:b/>
                <w:color w:val="000000"/>
                <w:sz w:val="16"/>
              </w:rPr>
              <w:t>Justify complex computing challenge beyond routine CRUD operations</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Accepted: Formulated Bayesian Beta engine, bounded k-hop traversal, and R1–R9 rules behind IAssess interface</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Areeba Javed</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Complete</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Report Ch. 5 &amp; 6; backend/app/domain/assurance/</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Defend mathematical derivation during live demo (Oct 15)</w:t>
            </w:r>
          </w:p>
        </w:tc>
      </w:tr>
      <w:tr>
        <w:tc>
          <w:tcPr>
            <w:tcW w:type="dxa" w:w="1704"/>
            <w:shd w:fill="FFFFFF"/>
            <w:tcMar>
              <w:top w:w="80" w:type="dxa"/>
              <w:bottom w:w="80" w:type="dxa"/>
              <w:left w:w="120" w:type="dxa"/>
              <w:right w:w="120" w:type="dxa"/>
            </w:tcMar>
          </w:tcPr>
          <w:p>
            <w:pPr>
              <w:spacing w:before="40" w:after="40" w:line="276" w:lineRule="auto"/>
            </w:pPr>
            <w:r>
              <w:rPr>
                <w:rFonts w:ascii="Calibri" w:hAnsi="Calibri"/>
                <w:b/>
                <w:color w:val="000000"/>
                <w:sz w:val="16"/>
              </w:rPr>
              <w:t>Prevent invasive location tracking during neighbourhood verification checks</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Accepted: Eliminated exact street address / GPS persistence; enforced coarse neighbourhood boundary tokens (ADR-0007)</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Fatima Khursheed</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Complete</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ADR-0007; Report Ch. 5; test_privacy.py (TC-15)</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Present zero-leakage API response in demo (Oct 15)</w:t>
            </w:r>
          </w:p>
        </w:tc>
      </w:tr>
      <w:tr>
        <w:tc>
          <w:tcPr>
            <w:tcW w:type="dxa" w:w="1704"/>
            <w:shd w:fill="F9FAFB"/>
            <w:tcMar>
              <w:top w:w="80" w:type="dxa"/>
              <w:bottom w:w="80" w:type="dxa"/>
              <w:left w:w="120" w:type="dxa"/>
              <w:right w:w="120" w:type="dxa"/>
            </w:tcMar>
          </w:tcPr>
          <w:p>
            <w:pPr>
              <w:spacing w:before="40" w:after="40" w:line="276" w:lineRule="auto"/>
            </w:pPr>
            <w:r>
              <w:rPr>
                <w:rFonts w:ascii="Calibri" w:hAnsi="Calibri"/>
                <w:b/>
                <w:color w:val="000000"/>
                <w:sz w:val="16"/>
              </w:rPr>
              <w:t>Provide verifiable concurrency controls for physical asset reservations</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Accepted: Enforced PostgreSQL 16 btree_gist exclusion constraints over item and temporal range (ADR-0003)</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Fatima Khursheed</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Complete</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Alembic 0001_schema_v2_3.py; test_concurrency.py (TC-08)</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Demonstrate 5-thread collision rejection live (Oct 15)</w:t>
            </w:r>
          </w:p>
        </w:tc>
      </w:tr>
      <w:tr>
        <w:tc>
          <w:tcPr>
            <w:tcW w:type="dxa" w:w="1704"/>
            <w:shd w:fill="FFFFFF"/>
            <w:tcMar>
              <w:top w:w="80" w:type="dxa"/>
              <w:bottom w:w="80" w:type="dxa"/>
              <w:left w:w="120" w:type="dxa"/>
              <w:right w:w="120" w:type="dxa"/>
            </w:tcMar>
          </w:tcPr>
          <w:p>
            <w:pPr>
              <w:spacing w:before="40" w:after="40" w:line="276" w:lineRule="auto"/>
            </w:pPr>
            <w:r>
              <w:rPr>
                <w:rFonts w:ascii="Calibri" w:hAnsi="Calibri"/>
                <w:b/>
                <w:color w:val="000000"/>
                <w:sz w:val="16"/>
              </w:rPr>
              <w:t>Establish reproducible testing with explicit ground-truth validation</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Accepted: Built deterministic synthetic scenario generator (neighborhood-sim) with 20 acceptance fixtures</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Minahil Kashif</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Complete</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backend/tests/scenarios/; Report Ch. 7, Table 7.1</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Execute synthetic scenario suite in live demo (Oct 15)</w:t>
            </w:r>
          </w:p>
        </w:tc>
      </w:tr>
      <w:tr>
        <w:tc>
          <w:tcPr>
            <w:tcW w:type="dxa" w:w="1704"/>
            <w:shd w:fill="F9FAFB"/>
            <w:tcMar>
              <w:top w:w="80" w:type="dxa"/>
              <w:bottom w:w="80" w:type="dxa"/>
              <w:left w:w="120" w:type="dxa"/>
              <w:right w:w="120" w:type="dxa"/>
            </w:tcMar>
          </w:tcPr>
          <w:p>
            <w:pPr>
              <w:spacing w:before="40" w:after="40" w:line="276" w:lineRule="auto"/>
            </w:pPr>
            <w:r>
              <w:rPr>
                <w:rFonts w:ascii="Calibri" w:hAnsi="Calibri"/>
                <w:b/>
                <w:color w:val="000000"/>
                <w:sz w:val="16"/>
              </w:rPr>
              <w:t>Ensure transparent GenAI and third-party tool usage disclosure</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Accepted: Maintained comprehensive AI usage log in docs/ai-usage-log.md and completed Form 13 dependency registry</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All Group</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Complete</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docs/ai-usage-log.md; Report Ch. 8, Section 8.6</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Disclose assistive prompt log to panel (Oct 15)</w:t>
            </w:r>
          </w:p>
        </w:tc>
      </w:tr>
      <w:tr>
        <w:tc>
          <w:tcPr>
            <w:tcW w:type="dxa" w:w="1704"/>
            <w:shd w:fill="FFFFFF"/>
            <w:tcMar>
              <w:top w:w="80" w:type="dxa"/>
              <w:bottom w:w="80" w:type="dxa"/>
              <w:left w:w="120" w:type="dxa"/>
              <w:right w:w="120" w:type="dxa"/>
            </w:tcMar>
          </w:tcPr>
          <w:p>
            <w:pPr>
              <w:spacing w:before="40" w:after="40" w:line="276" w:lineRule="auto"/>
            </w:pPr>
            <w:r>
              <w:rPr>
                <w:rFonts w:ascii="Calibri" w:hAnsi="Calibri"/>
                <w:b/>
                <w:color w:val="000000"/>
                <w:sz w:val="16"/>
              </w:rPr>
              <w:t>Demonstrate end-to-end integration across presentation client and REST API</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Accepted: Engineered React Native / Expo presentation layer integrated with FastAPI endpoints and OpenAPI schemas</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Minahil Kashif</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Complete</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frontend/src/app/; Live Web: digitalmohalla-web.onrender.com</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Conduct live interactive request-to-return demo (Oct 15)</w:t>
            </w:r>
          </w:p>
        </w:tc>
      </w:tr>
    </w:tbl>
    <w:p>
      <w:pPr>
        <w:pStyle w:val="Heading2"/>
        <w:keepNext/>
        <w:spacing w:before="240" w:after="80"/>
      </w:pPr>
      <w:r>
        <w:rPr>
          <w:rFonts w:ascii="Calibri" w:hAnsi="Calibri"/>
          <w:b/>
          <w:color w:val="111827"/>
          <w:sz w:val="24"/>
        </w:rPr>
        <w:t>Proposal response summary</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592"/>
        <w:gridCol w:w="7488"/>
      </w:tblGrid>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Actions completed</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All 6 panel directives (ACT-01 to ACT-06) have been systematically resolved, implemented in code, tested, and incorporated into the mid report baseline.</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Actions still open</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None from the proposal decision. All panel recommendations are fully addressed in the current frozen evaluation baseline (v0.2.0-mid-freeze).</w:t>
            </w:r>
          </w:p>
        </w:tc>
      </w:tr>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Scope consequence</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The approved core scope is unchanged. Algorithmic depth was strengthened through formal Bayesian modeling, and data integrity was fortified via database-level exclusion constraints.</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Supervisor-approved exceptions</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None. No scope reductions or procedural exceptions were requested or required.</w:t>
            </w:r>
          </w:p>
        </w:tc>
      </w:tr>
    </w:tbl>
    <w:p>
      <w:pPr>
        <w:pStyle w:val="Heading1"/>
        <w:keepNext/>
        <w:spacing w:before="240" w:after="80"/>
      </w:pPr>
      <w:r>
        <w:rPr>
          <w:rFonts w:ascii="Calibri" w:hAnsi="Calibri"/>
          <w:b/>
          <w:color w:val="1E3A8A"/>
          <w:sz w:val="28"/>
        </w:rPr>
        <w:t>3 Iteration plan and work breakdown progress</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304"/>
        <w:gridCol w:w="1296"/>
        <w:gridCol w:w="1152"/>
        <w:gridCol w:w="1152"/>
        <w:gridCol w:w="2160"/>
        <w:gridCol w:w="2016"/>
      </w:tblGrid>
      <w:tr>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Planned milestone or work package</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Owner</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Planned date</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Current state</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Evidence</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Variance and recovery action</w:t>
            </w:r>
          </w:p>
        </w:tc>
      </w:tr>
      <w:tr>
        <w:tc>
          <w:tcPr>
            <w:tcW w:type="dxa" w:w="1704"/>
            <w:shd w:fill="F9FAFB"/>
            <w:tcMar>
              <w:top w:w="80" w:type="dxa"/>
              <w:bottom w:w="80" w:type="dxa"/>
              <w:left w:w="120" w:type="dxa"/>
              <w:right w:w="120" w:type="dxa"/>
            </w:tcMar>
          </w:tcPr>
          <w:p>
            <w:pPr>
              <w:spacing w:before="40" w:after="40" w:line="276" w:lineRule="auto"/>
            </w:pPr>
            <w:r>
              <w:rPr>
                <w:rFonts w:ascii="Calibri" w:hAnsi="Calibri"/>
                <w:b/>
                <w:color w:val="000000"/>
                <w:sz w:val="16"/>
              </w:rPr>
              <w:t>Slice A: Borrowing Lifecycle &amp; Event Store</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Fatima Khursheed</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Oct 5, 2026</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Complete</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PR #20, backend/app/domain/borrowing/, 308 unit tests passed</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On schedule; zero variance.</w:t>
            </w:r>
          </w:p>
        </w:tc>
      </w:tr>
      <w:tr>
        <w:tc>
          <w:tcPr>
            <w:tcW w:type="dxa" w:w="1704"/>
            <w:shd w:fill="FFFFFF"/>
            <w:tcMar>
              <w:top w:w="80" w:type="dxa"/>
              <w:bottom w:w="80" w:type="dxa"/>
              <w:left w:w="120" w:type="dxa"/>
              <w:right w:w="120" w:type="dxa"/>
            </w:tcMar>
          </w:tcPr>
          <w:p>
            <w:pPr>
              <w:spacing w:before="40" w:after="40" w:line="276" w:lineRule="auto"/>
            </w:pPr>
            <w:r>
              <w:rPr>
                <w:rFonts w:ascii="Calibri" w:hAnsi="Calibri"/>
                <w:b/>
                <w:color w:val="000000"/>
                <w:sz w:val="16"/>
              </w:rPr>
              <w:t>Slice A: PostgreSQL Schema &amp; Concurrency</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Fatima Khursheed</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Oct 7, 2026</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Complete</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Alembic 0001_schema_v2_3.py, test_concurrency.py passed</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On schedule; zero variance.</w:t>
            </w:r>
          </w:p>
        </w:tc>
      </w:tr>
      <w:tr>
        <w:tc>
          <w:tcPr>
            <w:tcW w:type="dxa" w:w="1704"/>
            <w:shd w:fill="F9FAFB"/>
            <w:tcMar>
              <w:top w:w="80" w:type="dxa"/>
              <w:bottom w:w="80" w:type="dxa"/>
              <w:left w:w="120" w:type="dxa"/>
              <w:right w:w="120" w:type="dxa"/>
            </w:tcMar>
          </w:tcPr>
          <w:p>
            <w:pPr>
              <w:spacing w:before="40" w:after="40" w:line="276" w:lineRule="auto"/>
            </w:pPr>
            <w:r>
              <w:rPr>
                <w:rFonts w:ascii="Calibri" w:hAnsi="Calibri"/>
                <w:b/>
                <w:color w:val="000000"/>
                <w:sz w:val="16"/>
              </w:rPr>
              <w:t>Slice A: REST API &amp; Auth Security</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Fatima Khursheed</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Oct 8, 2026</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Complete</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backend/app/api/routes.py, 18 API security tests passed</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On schedule; zero variance.</w:t>
            </w:r>
          </w:p>
        </w:tc>
      </w:tr>
      <w:tr>
        <w:tc>
          <w:tcPr>
            <w:tcW w:type="dxa" w:w="1704"/>
            <w:shd w:fill="FFFFFF"/>
            <w:tcMar>
              <w:top w:w="80" w:type="dxa"/>
              <w:bottom w:w="80" w:type="dxa"/>
              <w:left w:w="120" w:type="dxa"/>
              <w:right w:w="120" w:type="dxa"/>
            </w:tcMar>
          </w:tcPr>
          <w:p>
            <w:pPr>
              <w:spacing w:before="40" w:after="40" w:line="276" w:lineRule="auto"/>
            </w:pPr>
            <w:r>
              <w:rPr>
                <w:rFonts w:ascii="Calibri" w:hAnsi="Calibri"/>
                <w:b/>
                <w:color w:val="000000"/>
                <w:sz w:val="16"/>
              </w:rPr>
              <w:t>Slice A: Expo Client Request Flow</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Minahil Kashif</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Oct 9, 2026</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Complete</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frontend/src/app/, web and mobile request flows verified</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On schedule; zero variance.</w:t>
            </w:r>
          </w:p>
        </w:tc>
      </w:tr>
      <w:tr>
        <w:tc>
          <w:tcPr>
            <w:tcW w:type="dxa" w:w="1704"/>
            <w:shd w:fill="F9FAFB"/>
            <w:tcMar>
              <w:top w:w="80" w:type="dxa"/>
              <w:bottom w:w="80" w:type="dxa"/>
              <w:left w:w="120" w:type="dxa"/>
              <w:right w:w="120" w:type="dxa"/>
            </w:tcMar>
          </w:tcPr>
          <w:p>
            <w:pPr>
              <w:spacing w:before="40" w:after="40" w:line="276" w:lineRule="auto"/>
            </w:pPr>
            <w:r>
              <w:rPr>
                <w:rFonts w:ascii="Calibri" w:hAnsi="Calibri"/>
                <w:b/>
                <w:color w:val="000000"/>
                <w:sz w:val="16"/>
              </w:rPr>
              <w:t>Slice B: Bayesian Beta Engine &amp; Similarity</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Areeba Javed</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Oct 10, 2026</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Complete</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backend/app/domain/assurance/estimation/, TC-20–24 passed</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On schedule; zero variance.</w:t>
            </w:r>
          </w:p>
        </w:tc>
      </w:tr>
      <w:tr>
        <w:tc>
          <w:tcPr>
            <w:tcW w:type="dxa" w:w="1704"/>
            <w:shd w:fill="FFFFFF"/>
            <w:tcMar>
              <w:top w:w="80" w:type="dxa"/>
              <w:bottom w:w="80" w:type="dxa"/>
              <w:left w:w="120" w:type="dxa"/>
              <w:right w:w="120" w:type="dxa"/>
            </w:tcMar>
          </w:tcPr>
          <w:p>
            <w:pPr>
              <w:spacing w:before="40" w:after="40" w:line="276" w:lineRule="auto"/>
            </w:pPr>
            <w:r>
              <w:rPr>
                <w:rFonts w:ascii="Calibri" w:hAnsi="Calibri"/>
                <w:b/>
                <w:color w:val="000000"/>
                <w:sz w:val="16"/>
              </w:rPr>
              <w:t>Slice B: Bounded k-Hop Graph Traversal</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Fatima Khursheed</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Oct 11, 2026</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Complete</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backend/app/domain/assurance/indirect/, TC-25–28 passed</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On schedule; zero variance.</w:t>
            </w:r>
          </w:p>
        </w:tc>
      </w:tr>
      <w:tr>
        <w:tc>
          <w:tcPr>
            <w:tcW w:type="dxa" w:w="1704"/>
            <w:shd w:fill="F9FAFB"/>
            <w:tcMar>
              <w:top w:w="80" w:type="dxa"/>
              <w:bottom w:w="80" w:type="dxa"/>
              <w:left w:w="120" w:type="dxa"/>
              <w:right w:w="120" w:type="dxa"/>
            </w:tcMar>
          </w:tcPr>
          <w:p>
            <w:pPr>
              <w:spacing w:before="40" w:after="40" w:line="276" w:lineRule="auto"/>
            </w:pPr>
            <w:r>
              <w:rPr>
                <w:rFonts w:ascii="Calibri" w:hAnsi="Calibri"/>
                <w:b/>
                <w:color w:val="000000"/>
                <w:sz w:val="16"/>
              </w:rPr>
              <w:t>Slice B: Decision Policy &amp; Evidence Screen</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Areeba Javed / Minahil</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Oct 12, 2026</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Complete</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Rules R1–R9 verified; 3-layer UI screen (TC-100 passed)</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On schedule; zero variance.</w:t>
            </w:r>
          </w:p>
        </w:tc>
      </w:tr>
    </w:tbl>
    <w:p>
      <w:pPr>
        <w:pStyle w:val="Heading2"/>
        <w:keepNext/>
        <w:spacing w:before="240" w:after="80"/>
      </w:pPr>
      <w:r>
        <w:rPr>
          <w:rFonts w:ascii="Calibri" w:hAnsi="Calibri"/>
          <w:b/>
          <w:color w:val="111827"/>
          <w:sz w:val="24"/>
        </w:rPr>
        <w:t>Iteration milestones summary</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592"/>
        <w:gridCol w:w="7488"/>
      </w:tblGrid>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Iteration objective</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Deliver a fully integrated, verified vertical slice comprising the complete asset borrowing lifecycle (Slice A) and the Bayesian Trust &amp; Risk Assurance Engine (Slice B).</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Objective status</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Met for Slices A &amp; B (100% verified across 390+ automated tests). Slice C collusion heuristics and human moderation dispute queue are marked [LEFT: In Progress] and completing ahead of Thursday's evaluation.</w:t>
            </w:r>
          </w:p>
        </w:tc>
      </w:tr>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Critical blocker</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None. Core engine, persistence layer, API transport, and UI clients are fully operational both locally and in cloud deployment.</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Recovery plan</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Finalize collusion detection heuristics (ES-04/05) and dispute evidence packaging workflow by Thursday, October 15, 2026.</w:t>
            </w:r>
          </w:p>
        </w:tc>
      </w:tr>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Next iteration outcome</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Full multi-community pilot deployment, automated CD rollback drill execution, and federated campus authentication.</w:t>
            </w:r>
          </w:p>
        </w:tc>
      </w:tr>
    </w:tbl>
    <w:p>
      <w:pPr>
        <w:pStyle w:val="Heading1"/>
        <w:keepNext/>
        <w:spacing w:before="240" w:after="80"/>
      </w:pPr>
      <w:r>
        <w:rPr>
          <w:rFonts w:ascii="Calibri" w:hAnsi="Calibri"/>
          <w:b/>
          <w:color w:val="1E3A8A"/>
          <w:sz w:val="28"/>
        </w:rPr>
        <w:t>4 Live prototype and core module</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592"/>
        <w:gridCol w:w="7488"/>
      </w:tblGrid>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Core module</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Trust and Risk Assurance Engine (AssuranceEngine / IAssess) &amp; Borrowing Lifecycle Service (BorrowingService)</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Why it is meaningful</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Directly tackles the core economic and social impediment in neighbourhood sharing: interpersonal transaction risk and information asymmetry. By substituting subjective, manipulable star ratings with objective Bayesian posterior distributions, credible intervals, and bounded indirect reputation, it empowers lenders to safely share physical assets without requiring commercial monetary deposits.</w:t>
            </w:r>
          </w:p>
        </w:tc>
      </w:tr>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Input</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Loan request context payload: Borrower UUID, Lender UUID, Item Category, Item Replacement Value Tier (Tier 1–4), Requested Loan Duration (tsrange), and historical community interaction events.</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Processing</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1. Pure outcome extraction from verified historical events (Rule D11);</w:t>
              <w:br/>
              <w:t>2. Bayesian Beta posterior computation with 180-day half-life recency decay;</w:t>
              <w:br/>
              <w:t>3. Contextual similarity weighting across asset value, category, and duration (D17);</w:t>
              <w:br/>
              <w:t>4. Cycle-safe bounded k-hop indirect trust graph traversal (k &lt;= 3, noisy-OR cap 0.30);</w:t>
              <w:br/>
              <w:t>5. Decision policy rule matching (Rules R1–R9) generating structured natural-language explanations and recommended safeguards.</w:t>
            </w:r>
          </w:p>
        </w:tc>
      </w:tr>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Output</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AssessmentResult: Reassurance Tier (SUFFICIENT_EVIDENCE, SUFFICIENT_WITH_SAFEGUARDS, INSUFFICIENT_EVIDENCE), Posterior Mean theta, 90% Credible Interval [theta_lower, theta_upper], Bounded Indirect Path Strength, Actionable Safeguards (e.g. in-person photographic inspection), and Human-Readable Evidence Narrative.</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Dependencies</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Python 3.12, FastAPI 0.115, PostgreSQL 16, SQLAlchemy 2.0, Alembic, psycopg 3, NumPy, SciPy, Expo SDK 52, TypeScript 5.6.</w:t>
            </w:r>
          </w:p>
        </w:tc>
      </w:tr>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Known limitations</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Adversarial collusion detection heuristics (burst ratings and reciprocal collusion in Slice C) are currently in progress and scheduled for completion by Thursday.</w:t>
            </w:r>
          </w:p>
        </w:tc>
      </w:tr>
    </w:tbl>
    <w:p>
      <w:pPr>
        <w:pStyle w:val="Heading2"/>
        <w:keepNext/>
        <w:spacing w:before="240" w:after="80"/>
      </w:pPr>
      <w:r>
        <w:rPr>
          <w:rFonts w:ascii="Calibri" w:hAnsi="Calibri"/>
          <w:b/>
          <w:color w:val="111827"/>
          <w:sz w:val="24"/>
        </w:rPr>
        <w:t>Implementation boundary</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160"/>
        <w:gridCol w:w="2160"/>
        <w:gridCol w:w="1872"/>
        <w:gridCol w:w="2016"/>
        <w:gridCol w:w="1872"/>
      </w:tblGrid>
      <w:tr>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Component</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Implemented and integrated</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Mocked or substituted</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Evidence</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Plan to remove substitute</w:t>
            </w:r>
          </w:p>
        </w:tc>
      </w:tr>
      <w:tr>
        <w:tc>
          <w:tcPr>
            <w:tcW w:type="dxa" w:w="2045"/>
            <w:shd w:fill="F9FAFB"/>
            <w:tcMar>
              <w:top w:w="80" w:type="dxa"/>
              <w:bottom w:w="80" w:type="dxa"/>
              <w:left w:w="120" w:type="dxa"/>
              <w:right w:w="120" w:type="dxa"/>
            </w:tcMar>
          </w:tcPr>
          <w:p>
            <w:pPr>
              <w:spacing w:before="40" w:after="40" w:line="276" w:lineRule="auto"/>
            </w:pPr>
            <w:r>
              <w:rPr>
                <w:rFonts w:ascii="Calibri" w:hAnsi="Calibri"/>
                <w:b/>
                <w:color w:val="000000"/>
                <w:sz w:val="16"/>
              </w:rPr>
              <w:t>Client or interface</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Expo React Native presentation client (Web + Mobile), 3-layer lender evidence dashboard</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None; fully integrated via Axios REST client</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Live web app: digitalmohalla-web.onrender.com; TC-100 Jest tests</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Not applicable (fully live)</w:t>
            </w:r>
          </w:p>
        </w:tc>
      </w:tr>
      <w:tr>
        <w:tc>
          <w:tcPr>
            <w:tcW w:type="dxa" w:w="2045"/>
            <w:shd w:fill="FFFFFF"/>
            <w:tcMar>
              <w:top w:w="80" w:type="dxa"/>
              <w:bottom w:w="80" w:type="dxa"/>
              <w:left w:w="120" w:type="dxa"/>
              <w:right w:w="120" w:type="dxa"/>
            </w:tcMar>
          </w:tcPr>
          <w:p>
            <w:pPr>
              <w:spacing w:before="40" w:after="40" w:line="276" w:lineRule="auto"/>
            </w:pPr>
            <w:r>
              <w:rPr>
                <w:rFonts w:ascii="Calibri" w:hAnsi="Calibri"/>
                <w:b/>
                <w:color w:val="000000"/>
                <w:sz w:val="16"/>
              </w:rPr>
              <w:t>Backend or service</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FastAPI REST API, JWT bearer auth, Pydantic v2 schemas, BorrowingService coordinator</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None; live API endpoints under /api/v1</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Live API health gate: digitalmohalla-api.onrender.com/health</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Not applicable (fully live)</w:t>
            </w:r>
          </w:p>
        </w:tc>
      </w:tr>
      <w:tr>
        <w:tc>
          <w:tcPr>
            <w:tcW w:type="dxa" w:w="2045"/>
            <w:shd w:fill="F9FAFB"/>
            <w:tcMar>
              <w:top w:w="80" w:type="dxa"/>
              <w:bottom w:w="80" w:type="dxa"/>
              <w:left w:w="120" w:type="dxa"/>
              <w:right w:w="120" w:type="dxa"/>
            </w:tcMar>
          </w:tcPr>
          <w:p>
            <w:pPr>
              <w:spacing w:before="40" w:after="40" w:line="276" w:lineRule="auto"/>
            </w:pPr>
            <w:r>
              <w:rPr>
                <w:rFonts w:ascii="Calibri" w:hAnsi="Calibri"/>
                <w:b/>
                <w:color w:val="000000"/>
                <w:sz w:val="16"/>
              </w:rPr>
              <w:t>Core algorithm or model</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Bayesian Beta posterior, contextual similarity, k-hop graph traversal, decision rules R1–R9</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None; executes pure mathematical logic in-memory behind IAssess</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backend/app/domain/assurance/; 80+ unit and property tests</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Not applicable (fully live)</w:t>
            </w:r>
          </w:p>
        </w:tc>
      </w:tr>
      <w:tr>
        <w:tc>
          <w:tcPr>
            <w:tcW w:type="dxa" w:w="2045"/>
            <w:shd w:fill="FFFFFF"/>
            <w:tcMar>
              <w:top w:w="80" w:type="dxa"/>
              <w:bottom w:w="80" w:type="dxa"/>
              <w:left w:w="120" w:type="dxa"/>
              <w:right w:w="120" w:type="dxa"/>
            </w:tcMar>
          </w:tcPr>
          <w:p>
            <w:pPr>
              <w:spacing w:before="40" w:after="40" w:line="276" w:lineRule="auto"/>
            </w:pPr>
            <w:r>
              <w:rPr>
                <w:rFonts w:ascii="Calibri" w:hAnsi="Calibri"/>
                <w:b/>
                <w:color w:val="000000"/>
                <w:sz w:val="16"/>
              </w:rPr>
              <w:t>Data or external dependency</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PostgreSQL 16 relational store, btree_gist exclusion constraints, append-only event store</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Real-world residential user pool substituted by 20 synthetic scenario fixtures</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backend/tests/scenarios/; Alembic migration 0001_schema_v2_3.py</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Deploy multi-tenant pilot in FYP-2</w:t>
            </w:r>
          </w:p>
        </w:tc>
      </w:tr>
    </w:tbl>
    <w:p>
      <w:pPr>
        <w:pStyle w:val="Heading2"/>
        <w:keepNext/>
        <w:spacing w:before="240" w:after="80"/>
      </w:pPr>
      <w:r>
        <w:rPr>
          <w:rFonts w:ascii="Calibri" w:hAnsi="Calibri"/>
          <w:b/>
          <w:color w:val="111827"/>
          <w:sz w:val="24"/>
        </w:rPr>
        <w:t>Live demonstration plan</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720"/>
        <w:gridCol w:w="2592"/>
        <w:gridCol w:w="2880"/>
        <w:gridCol w:w="2448"/>
        <w:gridCol w:w="1440"/>
      </w:tblGrid>
      <w:tr>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Step</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Action</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Expected result</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Evidence visible</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Presenter</w:t>
            </w:r>
          </w:p>
        </w:tc>
      </w:tr>
      <w:tr>
        <w:tc>
          <w:tcPr>
            <w:tcW w:type="dxa" w:w="2045"/>
            <w:shd w:fill="F9FAFB"/>
            <w:tcMar>
              <w:top w:w="80" w:type="dxa"/>
              <w:bottom w:w="80" w:type="dxa"/>
              <w:left w:w="120" w:type="dxa"/>
              <w:right w:w="120" w:type="dxa"/>
            </w:tcMar>
          </w:tcPr>
          <w:p>
            <w:pPr>
              <w:spacing w:before="40" w:after="40" w:line="276" w:lineRule="auto"/>
            </w:pPr>
            <w:r>
              <w:rPr>
                <w:rFonts w:ascii="Calibri" w:hAnsi="Calibri"/>
                <w:b/>
                <w:color w:val="000000"/>
                <w:sz w:val="16"/>
              </w:rPr>
              <w:t>1</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User registration &amp; authentication via Expo client</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Argon2 password hash verified; stateless JWT bearer token issued; user redirected to catalog</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Client login UI, Network tab showing /api/v1/auth/login token response</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Fatima Khursheed</w:t>
            </w:r>
          </w:p>
        </w:tc>
      </w:tr>
      <w:tr>
        <w:tc>
          <w:tcPr>
            <w:tcW w:type="dxa" w:w="2045"/>
            <w:shd w:fill="FFFFFF"/>
            <w:tcMar>
              <w:top w:w="80" w:type="dxa"/>
              <w:bottom w:w="80" w:type="dxa"/>
              <w:left w:w="120" w:type="dxa"/>
              <w:right w:w="120" w:type="dxa"/>
            </w:tcMar>
          </w:tcPr>
          <w:p>
            <w:pPr>
              <w:spacing w:before="40" w:after="40" w:line="276" w:lineRule="auto"/>
            </w:pPr>
            <w:r>
              <w:rPr>
                <w:rFonts w:ascii="Calibri" w:hAnsi="Calibri"/>
                <w:b/>
                <w:color w:val="000000"/>
                <w:sz w:val="16"/>
              </w:rPr>
              <w:t>2</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Catalog browsing &amp; borrowing request creation</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Borrower selects drill; date range validated; locality gate checks membership polygon</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Request creation modal; request persisted in PostgreSQL; status REQUEST_CREATED</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Minahil Kashif</w:t>
            </w:r>
          </w:p>
        </w:tc>
      </w:tr>
      <w:tr>
        <w:tc>
          <w:tcPr>
            <w:tcW w:type="dxa" w:w="2045"/>
            <w:shd w:fill="F9FAFB"/>
            <w:tcMar>
              <w:top w:w="80" w:type="dxa"/>
              <w:bottom w:w="80" w:type="dxa"/>
              <w:left w:w="120" w:type="dxa"/>
              <w:right w:w="120" w:type="dxa"/>
            </w:tcMar>
          </w:tcPr>
          <w:p>
            <w:pPr>
              <w:spacing w:before="40" w:after="40" w:line="276" w:lineRule="auto"/>
            </w:pPr>
            <w:r>
              <w:rPr>
                <w:rFonts w:ascii="Calibri" w:hAnsi="Calibri"/>
                <w:b/>
                <w:color w:val="000000"/>
                <w:sz w:val="16"/>
              </w:rPr>
              <w:t>3</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Lender assurance evaluation &amp; evidence dashboard</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IAssess computes Beta posterior; 90% credible interval and k-hop community path rendered</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3-layer Lender Evidence Dashboard (W1); Decision Rule R1/R2 recommendation</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Areeba Javed</w:t>
            </w:r>
          </w:p>
        </w:tc>
      </w:tr>
      <w:tr>
        <w:tc>
          <w:tcPr>
            <w:tcW w:type="dxa" w:w="2045"/>
            <w:shd w:fill="FFFFFF"/>
            <w:tcMar>
              <w:top w:w="80" w:type="dxa"/>
              <w:bottom w:w="80" w:type="dxa"/>
              <w:left w:w="120" w:type="dxa"/>
              <w:right w:w="120" w:type="dxa"/>
            </w:tcMar>
          </w:tcPr>
          <w:p>
            <w:pPr>
              <w:spacing w:before="40" w:after="40" w:line="276" w:lineRule="auto"/>
            </w:pPr>
            <w:r>
              <w:rPr>
                <w:rFonts w:ascii="Calibri" w:hAnsi="Calibri"/>
                <w:b/>
                <w:color w:val="000000"/>
                <w:sz w:val="16"/>
              </w:rPr>
              <w:t>4</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Concurrent acceptance collision drill (Failure Case)</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Two lenders/borrowers simultaneously accept overlapping booking; DB exclusion constraint triggers</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PostgreSQL btree_gist ExclusionViolation; second request safely aborted with HTTP 409</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Fatima Khursheed</w:t>
            </w:r>
          </w:p>
        </w:tc>
      </w:tr>
      <w:tr>
        <w:tc>
          <w:tcPr>
            <w:tcW w:type="dxa" w:w="2045"/>
            <w:shd w:fill="F9FAFB"/>
            <w:tcMar>
              <w:top w:w="80" w:type="dxa"/>
              <w:bottom w:w="80" w:type="dxa"/>
              <w:left w:w="120" w:type="dxa"/>
              <w:right w:w="120" w:type="dxa"/>
            </w:tcMar>
          </w:tcPr>
          <w:p>
            <w:pPr>
              <w:spacing w:before="40" w:after="40" w:line="276" w:lineRule="auto"/>
            </w:pPr>
            <w:r>
              <w:rPr>
                <w:rFonts w:ascii="Calibri" w:hAnsi="Calibri"/>
                <w:b/>
                <w:color w:val="000000"/>
                <w:sz w:val="16"/>
              </w:rPr>
              <w:t>5</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Dual-party physical handover inspection</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Lender completes checklist; borrower confirms custody; aggregate transitions to ACTIVE</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Handover confirmation UI (W3a/W3b); event store records HandoverCompletedEvent</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Minahil Kashif</w:t>
            </w:r>
          </w:p>
        </w:tc>
      </w:tr>
      <w:tr>
        <w:tc>
          <w:tcPr>
            <w:tcW w:type="dxa" w:w="2045"/>
            <w:shd w:fill="FFFFFF"/>
            <w:tcMar>
              <w:top w:w="80" w:type="dxa"/>
              <w:bottom w:w="80" w:type="dxa"/>
              <w:left w:w="120" w:type="dxa"/>
              <w:right w:w="120" w:type="dxa"/>
            </w:tcMar>
          </w:tcPr>
          <w:p>
            <w:pPr>
              <w:spacing w:before="40" w:after="40" w:line="276" w:lineRule="auto"/>
            </w:pPr>
            <w:r>
              <w:rPr>
                <w:rFonts w:ascii="Calibri" w:hAnsi="Calibri"/>
                <w:b/>
                <w:color w:val="000000"/>
                <w:sz w:val="16"/>
              </w:rPr>
              <w:t>6</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Dual-party item return &amp; outcome extraction</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Borrower returns item; lender inspects; event appended; trust edge updated via projection feed</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Return inspection UI (W4); trust_edges table updated with verified interaction outcome</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Areeba Javed</w:t>
            </w:r>
          </w:p>
        </w:tc>
      </w:tr>
    </w:tbl>
    <w:p>
      <w:pPr>
        <w:pStyle w:val="Heading2"/>
        <w:keepNext/>
        <w:spacing w:before="240" w:after="80"/>
      </w:pPr>
      <w:r>
        <w:rPr>
          <w:rFonts w:ascii="Calibri" w:hAnsi="Calibri"/>
          <w:b/>
          <w:color w:val="111827"/>
          <w:sz w:val="24"/>
        </w:rPr>
        <w:t>Normal edge and failure cases</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1296"/>
        <w:gridCol w:w="2304"/>
        <w:gridCol w:w="3168"/>
        <w:gridCol w:w="1728"/>
        <w:gridCol w:w="1584"/>
      </w:tblGrid>
      <w:tr>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Case</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Input or condition</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Expected behavior</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Latest result</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Evidence</w:t>
            </w:r>
          </w:p>
        </w:tc>
      </w:tr>
      <w:tr>
        <w:tc>
          <w:tcPr>
            <w:tcW w:type="dxa" w:w="2045"/>
            <w:shd w:fill="F9FAFB"/>
            <w:tcMar>
              <w:top w:w="80" w:type="dxa"/>
              <w:bottom w:w="80" w:type="dxa"/>
              <w:left w:w="120" w:type="dxa"/>
              <w:right w:w="120" w:type="dxa"/>
            </w:tcMar>
          </w:tcPr>
          <w:p>
            <w:pPr>
              <w:spacing w:before="40" w:after="40" w:line="276" w:lineRule="auto"/>
            </w:pPr>
            <w:r>
              <w:rPr>
                <w:rFonts w:ascii="Calibri" w:hAnsi="Calibri"/>
                <w:b/>
                <w:color w:val="000000"/>
                <w:sz w:val="16"/>
              </w:rPr>
              <w:t>Normal</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Borrower with 5 verified successful loan outcomes in same category</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Rule R1 fires: SUFFICIENT_EVIDENCE; narrow 90% credible interval [0.85, 0.97]; lender reassured</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Pass (Scenario ES-01)</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TC-40; posterior.py log</w:t>
            </w:r>
          </w:p>
        </w:tc>
      </w:tr>
      <w:tr>
        <w:tc>
          <w:tcPr>
            <w:tcW w:type="dxa" w:w="2045"/>
            <w:shd w:fill="FFFFFF"/>
            <w:tcMar>
              <w:top w:w="80" w:type="dxa"/>
              <w:bottom w:w="80" w:type="dxa"/>
              <w:left w:w="120" w:type="dxa"/>
              <w:right w:w="120" w:type="dxa"/>
            </w:tcMar>
          </w:tcPr>
          <w:p>
            <w:pPr>
              <w:spacing w:before="40" w:after="40" w:line="276" w:lineRule="auto"/>
            </w:pPr>
            <w:r>
              <w:rPr>
                <w:rFonts w:ascii="Calibri" w:hAnsi="Calibri"/>
                <w:b/>
                <w:color w:val="000000"/>
                <w:sz w:val="16"/>
              </w:rPr>
              <w:t>Edge</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Cold-start borrower with zero loans, but connected via 2-hop community trust path</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Rule R6 + indirect evidence fires: SUFFICIENT_WITH_SAFEGUARDS; path strength capped at 0.30</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Pass (Scenario ES-13)</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TC-47; khop.py traversal</w:t>
            </w:r>
          </w:p>
        </w:tc>
      </w:tr>
      <w:tr>
        <w:tc>
          <w:tcPr>
            <w:tcW w:type="dxa" w:w="2045"/>
            <w:shd w:fill="F9FAFB"/>
            <w:tcMar>
              <w:top w:w="80" w:type="dxa"/>
              <w:bottom w:w="80" w:type="dxa"/>
              <w:left w:w="120" w:type="dxa"/>
              <w:right w:w="120" w:type="dxa"/>
            </w:tcMar>
          </w:tcPr>
          <w:p>
            <w:pPr>
              <w:spacing w:before="40" w:after="40" w:line="276" w:lineRule="auto"/>
            </w:pPr>
            <w:r>
              <w:rPr>
                <w:rFonts w:ascii="Calibri" w:hAnsi="Calibri"/>
                <w:b/>
                <w:color w:val="000000"/>
                <w:sz w:val="16"/>
              </w:rPr>
              <w:t>Failure</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Concurrent acceptance collision on overlapping dates or invalid lifecycle transition</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PostgreSQL btree_gist constraint or TransitionTable aborts transaction; zero data corruption</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Pass (TC-02 &amp; TC-08)</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test_concurrency.py; HTTP 409</w:t>
            </w:r>
          </w:p>
        </w:tc>
      </w:tr>
    </w:tbl>
    <w:p>
      <w:pPr>
        <w:pStyle w:val="Heading1"/>
        <w:keepNext/>
        <w:spacing w:before="240" w:after="80"/>
      </w:pPr>
      <w:r>
        <w:rPr>
          <w:rFonts w:ascii="Calibri" w:hAnsi="Calibri"/>
          <w:b/>
          <w:color w:val="1E3A8A"/>
          <w:sz w:val="28"/>
        </w:rPr>
        <w:t>5 Requirements scope and acceptance evidence</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592"/>
        <w:gridCol w:w="7488"/>
      </w:tblGrid>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Problem and primary users</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Physical assets (power tools, maintenance equipment, appliances) sit idle in residential communities while neighbours purchase duplicate items. Pervasive lack of trust, fear of uncompensated damage/theft, and lack of objective accountability prevent resource sharing. Primary Users: Residential Lenders (asset owners), Borrowers (community members needing temporary access), and Community Moderators.</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Current scope</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Iteration 1 (Slices A and B): Complete end-to-end borrowing transaction lifecycle, append-only cryptographic event store, database-level concurrency exclusion, Bayesian Trust &amp; Risk Assurance Engine, bounded k-hop indirect graph search, context-aware decision policies, and cross-platform Expo client.</w:t>
            </w:r>
          </w:p>
        </w:tc>
      </w:tr>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Explicit exclusions</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Monetary escrow payments, GPS live tracking, biometric identity verification, hardware IoT smart locks, automated credit bureau scoring.</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Success criteria</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Zero concurrent double-booking (verified by multi-threaded integration tests); sub-250ms assurance engine execution latency; zero GPS coordinate leakage in API; 100% state machine transition validity across 294 invalid combinations; reproducible synthetic scenario evaluation with deterministic pass rates.</w:t>
            </w:r>
          </w:p>
        </w:tc>
      </w:tr>
    </w:tbl>
    <w:p>
      <w:pPr>
        <w:pStyle w:val="Heading2"/>
        <w:keepNext/>
        <w:spacing w:before="240" w:after="80"/>
      </w:pPr>
      <w:r>
        <w:rPr>
          <w:rFonts w:ascii="Calibri" w:hAnsi="Calibri"/>
          <w:b/>
          <w:color w:val="111827"/>
          <w:sz w:val="24"/>
        </w:rPr>
        <w:t>Requirements verification table</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864"/>
        <w:gridCol w:w="3168"/>
        <w:gridCol w:w="864"/>
        <w:gridCol w:w="3024"/>
        <w:gridCol w:w="2160"/>
      </w:tblGrid>
      <w:tr>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ID</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User interaction or requirement</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Type</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Acceptance criterion</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Status &amp; Evidence</w:t>
            </w:r>
          </w:p>
        </w:tc>
      </w:tr>
      <w:tr>
        <w:tc>
          <w:tcPr>
            <w:tcW w:type="dxa" w:w="2045"/>
            <w:shd w:fill="F9FAFB"/>
            <w:tcMar>
              <w:top w:w="80" w:type="dxa"/>
              <w:bottom w:w="80" w:type="dxa"/>
              <w:left w:w="120" w:type="dxa"/>
              <w:right w:w="120" w:type="dxa"/>
            </w:tcMar>
          </w:tcPr>
          <w:p>
            <w:pPr>
              <w:spacing w:before="40" w:after="40" w:line="276" w:lineRule="auto"/>
            </w:pPr>
            <w:r>
              <w:rPr>
                <w:rFonts w:ascii="Calibri" w:hAnsi="Calibri"/>
                <w:b/>
                <w:color w:val="000000"/>
                <w:sz w:val="16"/>
              </w:rPr>
              <w:t>R1</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User registration, argon2 password hashing, and stateless JWT authentication</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FR</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Valid credentials return signed JWT; invalid credentials return generic 401 Unauthorized</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Met | TC-10; test_auth.py</w:t>
            </w:r>
          </w:p>
        </w:tc>
      </w:tr>
      <w:tr>
        <w:tc>
          <w:tcPr>
            <w:tcW w:type="dxa" w:w="2045"/>
            <w:shd w:fill="FFFFFF"/>
            <w:tcMar>
              <w:top w:w="80" w:type="dxa"/>
              <w:bottom w:w="80" w:type="dxa"/>
              <w:left w:w="120" w:type="dxa"/>
              <w:right w:w="120" w:type="dxa"/>
            </w:tcMar>
          </w:tcPr>
          <w:p>
            <w:pPr>
              <w:spacing w:before="40" w:after="40" w:line="276" w:lineRule="auto"/>
            </w:pPr>
            <w:r>
              <w:rPr>
                <w:rFonts w:ascii="Calibri" w:hAnsi="Calibri"/>
                <w:b/>
                <w:color w:val="000000"/>
                <w:sz w:val="16"/>
              </w:rPr>
              <w:t>R2</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Locality verification gate without persistent GPS storage</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FR</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Borrower locality checked against coarse neighbourhood polygon; raw GPS never saved</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Met | TC-15; test_privacy.py</w:t>
            </w:r>
          </w:p>
        </w:tc>
      </w:tr>
      <w:tr>
        <w:tc>
          <w:tcPr>
            <w:tcW w:type="dxa" w:w="2045"/>
            <w:shd w:fill="F9FAFB"/>
            <w:tcMar>
              <w:top w:w="80" w:type="dxa"/>
              <w:bottom w:w="80" w:type="dxa"/>
              <w:left w:w="120" w:type="dxa"/>
              <w:right w:w="120" w:type="dxa"/>
            </w:tcMar>
          </w:tcPr>
          <w:p>
            <w:pPr>
              <w:spacing w:before="40" w:after="40" w:line="276" w:lineRule="auto"/>
            </w:pPr>
            <w:r>
              <w:rPr>
                <w:rFonts w:ascii="Calibri" w:hAnsi="Calibri"/>
                <w:b/>
                <w:color w:val="000000"/>
                <w:sz w:val="16"/>
              </w:rPr>
              <w:t>R3</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Append-only cryptographic event store with SHA-256 hash chaining</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NFR</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UPDATE and DELETE rejected by DB trigger; replay reconstitutes exact bitwise aggregate</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Met | TC-05; test_event_store.py</w:t>
            </w:r>
          </w:p>
        </w:tc>
      </w:tr>
      <w:tr>
        <w:tc>
          <w:tcPr>
            <w:tcW w:type="dxa" w:w="2045"/>
            <w:shd w:fill="FFFFFF"/>
            <w:tcMar>
              <w:top w:w="80" w:type="dxa"/>
              <w:bottom w:w="80" w:type="dxa"/>
              <w:left w:w="120" w:type="dxa"/>
              <w:right w:w="120" w:type="dxa"/>
            </w:tcMar>
          </w:tcPr>
          <w:p>
            <w:pPr>
              <w:spacing w:before="40" w:after="40" w:line="276" w:lineRule="auto"/>
            </w:pPr>
            <w:r>
              <w:rPr>
                <w:rFonts w:ascii="Calibri" w:hAnsi="Calibri"/>
                <w:b/>
                <w:color w:val="000000"/>
                <w:sz w:val="16"/>
              </w:rPr>
              <w:t>R4</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Zero concurrent double-booking on overlapping dates</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NFR</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Concurrent accept requests allow exactly 1 winner; other aborted by btree_gist exclusion</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Met | TC-08; test_concurrency.py</w:t>
            </w:r>
          </w:p>
        </w:tc>
      </w:tr>
      <w:tr>
        <w:tc>
          <w:tcPr>
            <w:tcW w:type="dxa" w:w="2045"/>
            <w:shd w:fill="F9FAFB"/>
            <w:tcMar>
              <w:top w:w="80" w:type="dxa"/>
              <w:bottom w:w="80" w:type="dxa"/>
              <w:left w:w="120" w:type="dxa"/>
              <w:right w:w="120" w:type="dxa"/>
            </w:tcMar>
          </w:tcPr>
          <w:p>
            <w:pPr>
              <w:spacing w:before="40" w:after="40" w:line="276" w:lineRule="auto"/>
            </w:pPr>
            <w:r>
              <w:rPr>
                <w:rFonts w:ascii="Calibri" w:hAnsi="Calibri"/>
                <w:b/>
                <w:color w:val="000000"/>
                <w:sz w:val="16"/>
              </w:rPr>
              <w:t>R5</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Bayesian Beta posterior estimation with 90% credible intervals</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FR</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Direct loan history produces posterior mean and credible interval matching analytical oracle</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Met | TC-20; test_posterior.py</w:t>
            </w:r>
          </w:p>
        </w:tc>
      </w:tr>
      <w:tr>
        <w:tc>
          <w:tcPr>
            <w:tcW w:type="dxa" w:w="2045"/>
            <w:shd w:fill="FFFFFF"/>
            <w:tcMar>
              <w:top w:w="80" w:type="dxa"/>
              <w:bottom w:w="80" w:type="dxa"/>
              <w:left w:w="120" w:type="dxa"/>
              <w:right w:w="120" w:type="dxa"/>
            </w:tcMar>
          </w:tcPr>
          <w:p>
            <w:pPr>
              <w:spacing w:before="40" w:after="40" w:line="276" w:lineRule="auto"/>
            </w:pPr>
            <w:r>
              <w:rPr>
                <w:rFonts w:ascii="Calibri" w:hAnsi="Calibri"/>
                <w:b/>
                <w:color w:val="000000"/>
                <w:sz w:val="16"/>
              </w:rPr>
              <w:t>R6</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Bounded k-hop indirect trust graph traversal (k &lt;= 3)</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FR</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Traverses social graph up to 3 hops; applies decay; caps indirect support at 0.30; cycle-safe</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Met | TC-25; test_khop.py</w:t>
            </w:r>
          </w:p>
        </w:tc>
      </w:tr>
      <w:tr>
        <w:tc>
          <w:tcPr>
            <w:tcW w:type="dxa" w:w="2045"/>
            <w:shd w:fill="F9FAFB"/>
            <w:tcMar>
              <w:top w:w="80" w:type="dxa"/>
              <w:bottom w:w="80" w:type="dxa"/>
              <w:left w:w="120" w:type="dxa"/>
              <w:right w:w="120" w:type="dxa"/>
            </w:tcMar>
          </w:tcPr>
          <w:p>
            <w:pPr>
              <w:spacing w:before="40" w:after="40" w:line="276" w:lineRule="auto"/>
            </w:pPr>
            <w:r>
              <w:rPr>
                <w:rFonts w:ascii="Calibri" w:hAnsi="Calibri"/>
                <w:b/>
                <w:color w:val="000000"/>
                <w:sz w:val="16"/>
              </w:rPr>
              <w:t>R7</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Decision policy rules R1–R9 and 3-layer lender evidence dashboard</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FR</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Evaluates evidence volume and risk; renders credible interval, path graph, and safeguards</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Met | TC-30, TC-100; AssurancePanel.tsx</w:t>
            </w:r>
          </w:p>
        </w:tc>
      </w:tr>
      <w:tr>
        <w:tc>
          <w:tcPr>
            <w:tcW w:type="dxa" w:w="2045"/>
            <w:shd w:fill="FFFFFF"/>
            <w:tcMar>
              <w:top w:w="80" w:type="dxa"/>
              <w:bottom w:w="80" w:type="dxa"/>
              <w:left w:w="120" w:type="dxa"/>
              <w:right w:w="120" w:type="dxa"/>
            </w:tcMar>
          </w:tcPr>
          <w:p>
            <w:pPr>
              <w:spacing w:before="40" w:after="40" w:line="276" w:lineRule="auto"/>
            </w:pPr>
            <w:r>
              <w:rPr>
                <w:rFonts w:ascii="Calibri" w:hAnsi="Calibri"/>
                <w:b/>
                <w:color w:val="000000"/>
                <w:sz w:val="16"/>
              </w:rPr>
              <w:t>R8</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Dispute escalation and human moderation review loop</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FR</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Unresolved condition conflicts freeze transaction and generate moderator review case</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In Progress [LEFT] | W5–W7 wireframes</w:t>
            </w:r>
          </w:p>
        </w:tc>
      </w:tr>
    </w:tbl>
    <w:p>
      <w:pPr>
        <w:pStyle w:val="Heading2"/>
        <w:keepNext/>
        <w:spacing w:before="240" w:after="80"/>
      </w:pPr>
      <w:r>
        <w:rPr>
          <w:rFonts w:ascii="Calibri" w:hAnsi="Calibri"/>
          <w:b/>
          <w:color w:val="111827"/>
          <w:sz w:val="24"/>
        </w:rPr>
        <w:t>Requirement traceability matrix</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720"/>
        <w:gridCol w:w="2016"/>
        <w:gridCol w:w="2592"/>
        <w:gridCol w:w="2016"/>
        <w:gridCol w:w="1296"/>
        <w:gridCol w:w="1440"/>
      </w:tblGrid>
      <w:tr>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Req</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Design element</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Implementation</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Test or validation</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Demo step</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Owner</w:t>
            </w:r>
          </w:p>
        </w:tc>
      </w:tr>
      <w:tr>
        <w:tc>
          <w:tcPr>
            <w:tcW w:type="dxa" w:w="1704"/>
            <w:shd w:fill="F9FAFB"/>
            <w:tcMar>
              <w:top w:w="80" w:type="dxa"/>
              <w:bottom w:w="80" w:type="dxa"/>
              <w:left w:w="120" w:type="dxa"/>
              <w:right w:w="120" w:type="dxa"/>
            </w:tcMar>
          </w:tcPr>
          <w:p>
            <w:pPr>
              <w:spacing w:before="40" w:after="40" w:line="276" w:lineRule="auto"/>
            </w:pPr>
            <w:r>
              <w:rPr>
                <w:rFonts w:ascii="Calibri" w:hAnsi="Calibri"/>
                <w:b/>
                <w:color w:val="000000"/>
                <w:sz w:val="16"/>
              </w:rPr>
              <w:t>R1</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Component Diagram; ADR-0005</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backend/app/api/auth.py</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TC-10; test_auth.py</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Step 1</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Fatima Khursheed</w:t>
            </w:r>
          </w:p>
        </w:tc>
      </w:tr>
      <w:tr>
        <w:tc>
          <w:tcPr>
            <w:tcW w:type="dxa" w:w="1704"/>
            <w:shd w:fill="FFFFFF"/>
            <w:tcMar>
              <w:top w:w="80" w:type="dxa"/>
              <w:bottom w:w="80" w:type="dxa"/>
              <w:left w:w="120" w:type="dxa"/>
              <w:right w:w="120" w:type="dxa"/>
            </w:tcMar>
          </w:tcPr>
          <w:p>
            <w:pPr>
              <w:spacing w:before="40" w:after="40" w:line="276" w:lineRule="auto"/>
            </w:pPr>
            <w:r>
              <w:rPr>
                <w:rFonts w:ascii="Calibri" w:hAnsi="Calibri"/>
                <w:b/>
                <w:color w:val="000000"/>
                <w:sz w:val="16"/>
              </w:rPr>
              <w:t>R2</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Domain Model; ADR-0007</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backend/app/domain/locality/</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TC-15; test_privacy.py</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Step 2</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Fatima Khursheed</w:t>
            </w:r>
          </w:p>
        </w:tc>
      </w:tr>
      <w:tr>
        <w:tc>
          <w:tcPr>
            <w:tcW w:type="dxa" w:w="1704"/>
            <w:shd w:fill="F9FAFB"/>
            <w:tcMar>
              <w:top w:w="80" w:type="dxa"/>
              <w:bottom w:w="80" w:type="dxa"/>
              <w:left w:w="120" w:type="dxa"/>
              <w:right w:w="120" w:type="dxa"/>
            </w:tcMar>
          </w:tcPr>
          <w:p>
            <w:pPr>
              <w:spacing w:before="40" w:after="40" w:line="276" w:lineRule="auto"/>
            </w:pPr>
            <w:r>
              <w:rPr>
                <w:rFonts w:ascii="Calibri" w:hAnsi="Calibri"/>
                <w:b/>
                <w:color w:val="000000"/>
                <w:sz w:val="16"/>
              </w:rPr>
              <w:t>R3</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ERD v2.3; ADR-0002</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backend/app/infra/eventstore/</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TC-05; test_event_store.py</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Step 5</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Fatima Khursheed</w:t>
            </w:r>
          </w:p>
        </w:tc>
      </w:tr>
      <w:tr>
        <w:tc>
          <w:tcPr>
            <w:tcW w:type="dxa" w:w="1704"/>
            <w:shd w:fill="FFFFFF"/>
            <w:tcMar>
              <w:top w:w="80" w:type="dxa"/>
              <w:bottom w:w="80" w:type="dxa"/>
              <w:left w:w="120" w:type="dxa"/>
              <w:right w:w="120" w:type="dxa"/>
            </w:tcMar>
          </w:tcPr>
          <w:p>
            <w:pPr>
              <w:spacing w:before="40" w:after="40" w:line="276" w:lineRule="auto"/>
            </w:pPr>
            <w:r>
              <w:rPr>
                <w:rFonts w:ascii="Calibri" w:hAnsi="Calibri"/>
                <w:b/>
                <w:color w:val="000000"/>
                <w:sz w:val="16"/>
              </w:rPr>
              <w:t>R4</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ERD v2.3; ADR-0003</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Alembic 0001_schema_v2_3.py</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TC-08; test_concurrency.py</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Step 4</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Fatima Khursheed</w:t>
            </w:r>
          </w:p>
        </w:tc>
      </w:tr>
      <w:tr>
        <w:tc>
          <w:tcPr>
            <w:tcW w:type="dxa" w:w="1704"/>
            <w:shd w:fill="F9FAFB"/>
            <w:tcMar>
              <w:top w:w="80" w:type="dxa"/>
              <w:bottom w:w="80" w:type="dxa"/>
              <w:left w:w="120" w:type="dxa"/>
              <w:right w:w="120" w:type="dxa"/>
            </w:tcMar>
          </w:tcPr>
          <w:p>
            <w:pPr>
              <w:spacing w:before="40" w:after="40" w:line="276" w:lineRule="auto"/>
            </w:pPr>
            <w:r>
              <w:rPr>
                <w:rFonts w:ascii="Calibri" w:hAnsi="Calibri"/>
                <w:b/>
                <w:color w:val="000000"/>
                <w:sz w:val="16"/>
              </w:rPr>
              <w:t>R5</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DFD Level 0; ADR-0004</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backend/app/domain/assurance/estimation/</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TC-20; test_posterior.py</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Step 3</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Areeba Javed</w:t>
            </w:r>
          </w:p>
        </w:tc>
      </w:tr>
      <w:tr>
        <w:tc>
          <w:tcPr>
            <w:tcW w:type="dxa" w:w="1704"/>
            <w:shd w:fill="FFFFFF"/>
            <w:tcMar>
              <w:top w:w="80" w:type="dxa"/>
              <w:bottom w:w="80" w:type="dxa"/>
              <w:left w:w="120" w:type="dxa"/>
              <w:right w:w="120" w:type="dxa"/>
            </w:tcMar>
          </w:tcPr>
          <w:p>
            <w:pPr>
              <w:spacing w:before="40" w:after="40" w:line="276" w:lineRule="auto"/>
            </w:pPr>
            <w:r>
              <w:rPr>
                <w:rFonts w:ascii="Calibri" w:hAnsi="Calibri"/>
                <w:b/>
                <w:color w:val="000000"/>
                <w:sz w:val="16"/>
              </w:rPr>
              <w:t>R6</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Domain Model; ADR-0008</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backend/app/domain/assurance/indirect/</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TC-25; test_khop.py</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Step 3</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Fatima Khursheed</w:t>
            </w:r>
          </w:p>
        </w:tc>
      </w:tr>
      <w:tr>
        <w:tc>
          <w:tcPr>
            <w:tcW w:type="dxa" w:w="1704"/>
            <w:shd w:fill="F9FAFB"/>
            <w:tcMar>
              <w:top w:w="80" w:type="dxa"/>
              <w:bottom w:w="80" w:type="dxa"/>
              <w:left w:w="120" w:type="dxa"/>
              <w:right w:w="120" w:type="dxa"/>
            </w:tcMar>
          </w:tcPr>
          <w:p>
            <w:pPr>
              <w:spacing w:before="40" w:after="40" w:line="276" w:lineRule="auto"/>
            </w:pPr>
            <w:r>
              <w:rPr>
                <w:rFonts w:ascii="Calibri" w:hAnsi="Calibri"/>
                <w:b/>
                <w:color w:val="000000"/>
                <w:sz w:val="16"/>
              </w:rPr>
              <w:t>R7</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Layer Diagram; W1 Screen</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backend/app/domain/assurance/policy/</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TC-30, TC-100 UI tests</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Step 3</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Areeba Javed / Minahil</w:t>
            </w:r>
          </w:p>
        </w:tc>
      </w:tr>
      <w:tr>
        <w:tc>
          <w:tcPr>
            <w:tcW w:type="dxa" w:w="1704"/>
            <w:shd w:fill="FFFFFF"/>
            <w:tcMar>
              <w:top w:w="80" w:type="dxa"/>
              <w:bottom w:w="80" w:type="dxa"/>
              <w:left w:w="120" w:type="dxa"/>
              <w:right w:w="120" w:type="dxa"/>
            </w:tcMar>
          </w:tcPr>
          <w:p>
            <w:pPr>
              <w:spacing w:before="40" w:after="40" w:line="276" w:lineRule="auto"/>
            </w:pPr>
            <w:r>
              <w:rPr>
                <w:rFonts w:ascii="Calibri" w:hAnsi="Calibri"/>
                <w:b/>
                <w:color w:val="000000"/>
                <w:sz w:val="16"/>
              </w:rPr>
              <w:t>R8</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Sequence C; W5–W7 Wireframes</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backend/app/domain/moderation/</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Expected fail in Suite 11</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Step 6</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Minahil Kashif / Areeba</w:t>
            </w:r>
          </w:p>
        </w:tc>
      </w:tr>
    </w:tbl>
    <w:p>
      <w:pPr>
        <w:pStyle w:val="Heading1"/>
        <w:keepNext/>
        <w:spacing w:before="240" w:after="80"/>
      </w:pPr>
      <w:r>
        <w:rPr>
          <w:rFonts w:ascii="Calibri" w:hAnsi="Calibri"/>
          <w:b/>
          <w:color w:val="1E3A8A"/>
          <w:sz w:val="28"/>
        </w:rPr>
        <w:t>6 Design artefacts and design evolution</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1872"/>
        <w:gridCol w:w="2016"/>
        <w:gridCol w:w="1152"/>
        <w:gridCol w:w="2160"/>
        <w:gridCol w:w="1440"/>
        <w:gridCol w:w="1440"/>
      </w:tblGrid>
      <w:tr>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Artefact</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Purpose</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Version or date</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Implementation connection</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Change since proposal</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Rationale</w:t>
            </w:r>
          </w:p>
        </w:tc>
      </w:tr>
      <w:tr>
        <w:tc>
          <w:tcPr>
            <w:tcW w:type="dxa" w:w="1704"/>
            <w:shd w:fill="F9FAFB"/>
            <w:tcMar>
              <w:top w:w="80" w:type="dxa"/>
              <w:bottom w:w="80" w:type="dxa"/>
              <w:left w:w="120" w:type="dxa"/>
              <w:right w:w="120" w:type="dxa"/>
            </w:tcMar>
          </w:tcPr>
          <w:p>
            <w:pPr>
              <w:spacing w:before="40" w:after="40" w:line="276" w:lineRule="auto"/>
            </w:pPr>
            <w:r>
              <w:rPr>
                <w:rFonts w:ascii="Calibri" w:hAnsi="Calibri"/>
                <w:b/>
                <w:color w:val="000000"/>
                <w:sz w:val="16"/>
              </w:rPr>
              <w:t>Architecture (Component &amp; Layer)</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Defines Clean Architecture 5-layer stack and modular monolith boundaries</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v2.0 (Oct 2026)</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docs/design/03_architecture/; backend/app/domain/</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Modular monolith formally adopted (ADR-0001)</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Eliminates distributed transaction latency while isolating pure domain math</w:t>
            </w:r>
          </w:p>
        </w:tc>
      </w:tr>
      <w:tr>
        <w:tc>
          <w:tcPr>
            <w:tcW w:type="dxa" w:w="1704"/>
            <w:shd w:fill="FFFFFF"/>
            <w:tcMar>
              <w:top w:w="80" w:type="dxa"/>
              <w:bottom w:w="80" w:type="dxa"/>
              <w:left w:w="120" w:type="dxa"/>
              <w:right w:w="120" w:type="dxa"/>
            </w:tcMar>
          </w:tcPr>
          <w:p>
            <w:pPr>
              <w:spacing w:before="40" w:after="40" w:line="276" w:lineRule="auto"/>
            </w:pPr>
            <w:r>
              <w:rPr>
                <w:rFonts w:ascii="Calibri" w:hAnsi="Calibri"/>
                <w:b/>
                <w:color w:val="000000"/>
                <w:sz w:val="16"/>
              </w:rPr>
              <w:t>Data / Schema / ERD</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Defines relational persistence, append-only events, and trust-edge graph tables</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ERD v2.3 (Oct 2026)</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docs/design/06_data_model/; Alembic migration 0001_schema_v2_3.py</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Added btree_gist exclusion constraint (ADR-0003)</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Mathematically eliminates concurrent double-booking at DB level</w:t>
            </w:r>
          </w:p>
        </w:tc>
      </w:tr>
      <w:tr>
        <w:tc>
          <w:tcPr>
            <w:tcW w:type="dxa" w:w="1704"/>
            <w:shd w:fill="F9FAFB"/>
            <w:tcMar>
              <w:top w:w="80" w:type="dxa"/>
              <w:bottom w:w="80" w:type="dxa"/>
              <w:left w:w="120" w:type="dxa"/>
              <w:right w:w="120" w:type="dxa"/>
            </w:tcMar>
          </w:tcPr>
          <w:p>
            <w:pPr>
              <w:spacing w:before="40" w:after="40" w:line="276" w:lineRule="auto"/>
            </w:pPr>
            <w:r>
              <w:rPr>
                <w:rFonts w:ascii="Calibri" w:hAnsi="Calibri"/>
                <w:b/>
                <w:color w:val="000000"/>
                <w:sz w:val="16"/>
              </w:rPr>
              <w:t>Process / Data Flow (DFD)</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Illustrates assurance pipeline context and multi-stage calculation stages</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DFD Level 0 (Oct 2026)</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docs/design/10_dfd/; backend/app/domain/assurance/</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Structured into 5-stage pipeline behind IAssess</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Decouples lifecycle from mathematical inference engine</w:t>
            </w:r>
          </w:p>
        </w:tc>
      </w:tr>
      <w:tr>
        <w:tc>
          <w:tcPr>
            <w:tcW w:type="dxa" w:w="1704"/>
            <w:shd w:fill="FFFFFF"/>
            <w:tcMar>
              <w:top w:w="80" w:type="dxa"/>
              <w:bottom w:w="80" w:type="dxa"/>
              <w:left w:w="120" w:type="dxa"/>
              <w:right w:w="120" w:type="dxa"/>
            </w:tcMar>
          </w:tcPr>
          <w:p>
            <w:pPr>
              <w:spacing w:before="40" w:after="40" w:line="276" w:lineRule="auto"/>
            </w:pPr>
            <w:r>
              <w:rPr>
                <w:rFonts w:ascii="Calibri" w:hAnsi="Calibri"/>
                <w:b/>
                <w:color w:val="000000"/>
                <w:sz w:val="16"/>
              </w:rPr>
              <w:t>Behavior / State Machine</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Specifies borrowing lifecycle finite state transitions and terminal states</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v2.2 (Oct 2026)</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docs/design/07_state_machines/; TransitionTable in aggregate.py</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Expanded to 14 valid and 280 invalid transitions</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Guarantees formal lifecycle consistency and auditability</w:t>
            </w:r>
          </w:p>
        </w:tc>
      </w:tr>
      <w:tr>
        <w:tc>
          <w:tcPr>
            <w:tcW w:type="dxa" w:w="1704"/>
            <w:shd w:fill="F9FAFB"/>
            <w:tcMar>
              <w:top w:w="80" w:type="dxa"/>
              <w:bottom w:w="80" w:type="dxa"/>
              <w:left w:w="120" w:type="dxa"/>
              <w:right w:w="120" w:type="dxa"/>
            </w:tcMar>
          </w:tcPr>
          <w:p>
            <w:pPr>
              <w:spacing w:before="40" w:after="40" w:line="276" w:lineRule="auto"/>
            </w:pPr>
            <w:r>
              <w:rPr>
                <w:rFonts w:ascii="Calibri" w:hAnsi="Calibri"/>
                <w:b/>
                <w:color w:val="000000"/>
                <w:sz w:val="16"/>
              </w:rPr>
              <w:t>Domain Class Model</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Defines aggregates, entities, value objects, and domain events across 3 slices</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S1, S2, S3 (Oct 2026)</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docs/design/05_class_model/; app/domain/</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Partitioned into 3 cohesive vertical slices</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Matches team ownership and prevents class bloat</w:t>
            </w:r>
          </w:p>
        </w:tc>
      </w:tr>
    </w:tbl>
    <w:p>
      <w:pPr>
        <w:pStyle w:val="Heading2"/>
        <w:keepNext/>
        <w:spacing w:before="240" w:after="80"/>
      </w:pPr>
      <w:r>
        <w:rPr>
          <w:rFonts w:ascii="Calibri" w:hAnsi="Calibri"/>
          <w:b/>
          <w:color w:val="111827"/>
          <w:sz w:val="24"/>
        </w:rPr>
        <w:t>Architecture and interface decisions (ADR Summary)</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1728"/>
        <w:gridCol w:w="1872"/>
        <w:gridCol w:w="1872"/>
        <w:gridCol w:w="2592"/>
        <w:gridCol w:w="2016"/>
      </w:tblGrid>
      <w:tr>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Decision</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Alternatives considered</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Chosen option</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Trade-off (Cost vs Benefit)</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Evidence</w:t>
            </w:r>
          </w:p>
        </w:tc>
      </w:tr>
      <w:tr>
        <w:tc>
          <w:tcPr>
            <w:tcW w:type="dxa" w:w="2045"/>
            <w:shd w:fill="F9FAFB"/>
            <w:tcMar>
              <w:top w:w="80" w:type="dxa"/>
              <w:bottom w:w="80" w:type="dxa"/>
              <w:left w:w="120" w:type="dxa"/>
              <w:right w:w="120" w:type="dxa"/>
            </w:tcMar>
          </w:tcPr>
          <w:p>
            <w:pPr>
              <w:spacing w:before="40" w:after="40" w:line="276" w:lineRule="auto"/>
            </w:pPr>
            <w:r>
              <w:rPr>
                <w:rFonts w:ascii="Calibri" w:hAnsi="Calibri"/>
                <w:b/>
                <w:color w:val="000000"/>
                <w:sz w:val="16"/>
              </w:rPr>
              <w:t>ADR-0001: Modular Monolith</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Microservices, Serverless Lambdas</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Modular Monolith in Python 3.12 (FastAPI)</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Cost: Single deployment artifact; Benefit: Zero distributed consensus latency, shared in-memory engine invocations</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docs/adr/ADR-0001-modular-monolith.md</w:t>
            </w:r>
          </w:p>
        </w:tc>
      </w:tr>
      <w:tr>
        <w:tc>
          <w:tcPr>
            <w:tcW w:type="dxa" w:w="2045"/>
            <w:shd w:fill="FFFFFF"/>
            <w:tcMar>
              <w:top w:w="80" w:type="dxa"/>
              <w:bottom w:w="80" w:type="dxa"/>
              <w:left w:w="120" w:type="dxa"/>
              <w:right w:w="120" w:type="dxa"/>
            </w:tcMar>
          </w:tcPr>
          <w:p>
            <w:pPr>
              <w:spacing w:before="40" w:after="40" w:line="276" w:lineRule="auto"/>
            </w:pPr>
            <w:r>
              <w:rPr>
                <w:rFonts w:ascii="Calibri" w:hAnsi="Calibri"/>
                <w:b/>
                <w:color w:val="000000"/>
                <w:sz w:val="16"/>
              </w:rPr>
              <w:t>ADR-0002: Event Sourcing Core</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CRUD database overwrites</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Append-Only Event Store with SHA-256 Chaining</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Cost: Requires aggregate reconstitution; Benefit: Immutable, tamper-evident audit trails for dispute resolution</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docs/adr/ADR-0002-event-sourcing.md</w:t>
            </w:r>
          </w:p>
        </w:tc>
      </w:tr>
      <w:tr>
        <w:tc>
          <w:tcPr>
            <w:tcW w:type="dxa" w:w="2045"/>
            <w:shd w:fill="F9FAFB"/>
            <w:tcMar>
              <w:top w:w="80" w:type="dxa"/>
              <w:bottom w:w="80" w:type="dxa"/>
              <w:left w:w="120" w:type="dxa"/>
              <w:right w:w="120" w:type="dxa"/>
            </w:tcMar>
          </w:tcPr>
          <w:p>
            <w:pPr>
              <w:spacing w:before="40" w:after="40" w:line="276" w:lineRule="auto"/>
            </w:pPr>
            <w:r>
              <w:rPr>
                <w:rFonts w:ascii="Calibri" w:hAnsi="Calibri"/>
                <w:b/>
                <w:color w:val="000000"/>
                <w:sz w:val="16"/>
              </w:rPr>
              <w:t>ADR-0003: DB Exclusion Constraints</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Application-level Redis mutex locks</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PostgreSQL 16 btree_gist temporal exclusion</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Cost: Requires PostgreSQL btree_gist extension; Benefit: Mathematical zero double-booking under high concurrency</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docs/adr/ADR-0003-postgres-exclusion-constraints.md</w:t>
            </w:r>
          </w:p>
        </w:tc>
      </w:tr>
      <w:tr>
        <w:tc>
          <w:tcPr>
            <w:tcW w:type="dxa" w:w="2045"/>
            <w:shd w:fill="FFFFFF"/>
            <w:tcMar>
              <w:top w:w="80" w:type="dxa"/>
              <w:bottom w:w="80" w:type="dxa"/>
              <w:left w:w="120" w:type="dxa"/>
              <w:right w:w="120" w:type="dxa"/>
            </w:tcMar>
          </w:tcPr>
          <w:p>
            <w:pPr>
              <w:spacing w:before="40" w:after="40" w:line="276" w:lineRule="auto"/>
            </w:pPr>
            <w:r>
              <w:rPr>
                <w:rFonts w:ascii="Calibri" w:hAnsi="Calibri"/>
                <w:b/>
                <w:color w:val="000000"/>
                <w:sz w:val="16"/>
              </w:rPr>
              <w:t>ADR-0007: Privacy Locality</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Raw GPS coordinates, Exact street addresses</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Coarse neighbourhood boundary tokens</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Cost: Cannot calculate meter-level proximity; Benefit: Complete immunity to residential stalking and burglary risks</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docs/adr/ADR-0007-privacy-preserving-locality.md</w:t>
            </w:r>
          </w:p>
        </w:tc>
      </w:tr>
      <w:tr>
        <w:tc>
          <w:tcPr>
            <w:tcW w:type="dxa" w:w="2045"/>
            <w:shd w:fill="F9FAFB"/>
            <w:tcMar>
              <w:top w:w="80" w:type="dxa"/>
              <w:bottom w:w="80" w:type="dxa"/>
              <w:left w:w="120" w:type="dxa"/>
              <w:right w:w="120" w:type="dxa"/>
            </w:tcMar>
          </w:tcPr>
          <w:p>
            <w:pPr>
              <w:spacing w:before="40" w:after="40" w:line="276" w:lineRule="auto"/>
            </w:pPr>
            <w:r>
              <w:rPr>
                <w:rFonts w:ascii="Calibri" w:hAnsi="Calibri"/>
                <w:b/>
                <w:color w:val="000000"/>
                <w:sz w:val="16"/>
              </w:rPr>
              <w:t>ADR-0008: Bounded Graph Traversal</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Unbounded Dijkstra, Global EigenTrust</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Bounded k-hop traversal (k &lt;= 3) with path decay</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Cost: Excludes distant social paths; Benefit: Bounded O(V+E) execution, complete resilience against global Sybil collusion</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docs/adr/ADR-0008-bounded-indirect-evidence.md</w:t>
            </w:r>
          </w:p>
        </w:tc>
      </w:tr>
    </w:tbl>
    <w:p>
      <w:pPr>
        <w:pStyle w:val="Heading1"/>
        <w:keepNext/>
        <w:spacing w:before="240" w:after="80"/>
      </w:pPr>
      <w:r>
        <w:rPr>
          <w:rFonts w:ascii="Calibri" w:hAnsi="Calibri"/>
          <w:b/>
          <w:color w:val="1E3A8A"/>
          <w:sz w:val="28"/>
        </w:rPr>
        <w:t>7 Repository milestone member and team evidence</w:t>
      </w:r>
    </w:p>
    <w:p>
      <w:r>
        <w:rPr>
          <w:i/>
          <w:sz w:val="18"/>
        </w:rPr>
        <w:t>Commit count alone is not enough. Show what each member designed, implemented, tested, reviewed or integrated and how the work relates to the iteration plan.</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1872"/>
        <w:gridCol w:w="1296"/>
        <w:gridCol w:w="1008"/>
        <w:gridCol w:w="1152"/>
        <w:gridCol w:w="2016"/>
        <w:gridCol w:w="1728"/>
        <w:gridCol w:w="1008"/>
      </w:tblGrid>
      <w:tr>
        <w:tc>
          <w:tcPr>
            <w:tcW w:type="dxa" w:w="1461"/>
            <w:shd w:fill="1E3A8A"/>
            <w:tcMar>
              <w:top w:w="80" w:type="dxa"/>
              <w:bottom w:w="80" w:type="dxa"/>
              <w:left w:w="120" w:type="dxa"/>
              <w:right w:w="120" w:type="dxa"/>
            </w:tcMar>
          </w:tcPr>
          <w:p>
            <w:pPr>
              <w:spacing w:before="40" w:after="40" w:line="276" w:lineRule="auto"/>
            </w:pPr>
            <w:r>
              <w:rPr>
                <w:rFonts w:ascii="Calibri" w:hAnsi="Calibri"/>
                <w:b/>
                <w:color w:val="FFFFFF"/>
                <w:sz w:val="15"/>
              </w:rPr>
              <w:t>Work item</w:t>
            </w:r>
          </w:p>
        </w:tc>
        <w:tc>
          <w:tcPr>
            <w:tcW w:type="dxa" w:w="1461"/>
            <w:shd w:fill="1E3A8A"/>
            <w:tcMar>
              <w:top w:w="80" w:type="dxa"/>
              <w:bottom w:w="80" w:type="dxa"/>
              <w:left w:w="120" w:type="dxa"/>
              <w:right w:w="120" w:type="dxa"/>
            </w:tcMar>
          </w:tcPr>
          <w:p>
            <w:pPr>
              <w:spacing w:before="40" w:after="40" w:line="276" w:lineRule="auto"/>
            </w:pPr>
            <w:r>
              <w:rPr>
                <w:rFonts w:ascii="Calibri" w:hAnsi="Calibri"/>
                <w:b/>
                <w:color w:val="FFFFFF"/>
                <w:sz w:val="15"/>
              </w:rPr>
              <w:t>Owner</w:t>
            </w:r>
          </w:p>
        </w:tc>
        <w:tc>
          <w:tcPr>
            <w:tcW w:type="dxa" w:w="1461"/>
            <w:shd w:fill="1E3A8A"/>
            <w:tcMar>
              <w:top w:w="80" w:type="dxa"/>
              <w:bottom w:w="80" w:type="dxa"/>
              <w:left w:w="120" w:type="dxa"/>
              <w:right w:w="120" w:type="dxa"/>
            </w:tcMar>
          </w:tcPr>
          <w:p>
            <w:pPr>
              <w:spacing w:before="40" w:after="40" w:line="276" w:lineRule="auto"/>
            </w:pPr>
            <w:r>
              <w:rPr>
                <w:rFonts w:ascii="Calibri" w:hAnsi="Calibri"/>
                <w:b/>
                <w:color w:val="FFFFFF"/>
                <w:sz w:val="15"/>
              </w:rPr>
              <w:t>Task / issue</w:t>
            </w:r>
          </w:p>
        </w:tc>
        <w:tc>
          <w:tcPr>
            <w:tcW w:type="dxa" w:w="1461"/>
            <w:shd w:fill="1E3A8A"/>
            <w:tcMar>
              <w:top w:w="80" w:type="dxa"/>
              <w:bottom w:w="80" w:type="dxa"/>
              <w:left w:w="120" w:type="dxa"/>
              <w:right w:w="120" w:type="dxa"/>
            </w:tcMar>
          </w:tcPr>
          <w:p>
            <w:pPr>
              <w:spacing w:before="40" w:after="40" w:line="276" w:lineRule="auto"/>
            </w:pPr>
            <w:r>
              <w:rPr>
                <w:rFonts w:ascii="Calibri" w:hAnsi="Calibri"/>
                <w:b/>
                <w:color w:val="FFFFFF"/>
                <w:sz w:val="15"/>
              </w:rPr>
              <w:t>Commit / PR</w:t>
            </w:r>
          </w:p>
        </w:tc>
        <w:tc>
          <w:tcPr>
            <w:tcW w:type="dxa" w:w="1461"/>
            <w:shd w:fill="1E3A8A"/>
            <w:tcMar>
              <w:top w:w="80" w:type="dxa"/>
              <w:bottom w:w="80" w:type="dxa"/>
              <w:left w:w="120" w:type="dxa"/>
              <w:right w:w="120" w:type="dxa"/>
            </w:tcMar>
          </w:tcPr>
          <w:p>
            <w:pPr>
              <w:spacing w:before="40" w:after="40" w:line="276" w:lineRule="auto"/>
            </w:pPr>
            <w:r>
              <w:rPr>
                <w:rFonts w:ascii="Calibri" w:hAnsi="Calibri"/>
                <w:b/>
                <w:color w:val="FFFFFF"/>
                <w:sz w:val="15"/>
              </w:rPr>
              <w:t>Files or artefact</w:t>
            </w:r>
          </w:p>
        </w:tc>
        <w:tc>
          <w:tcPr>
            <w:tcW w:type="dxa" w:w="1461"/>
            <w:shd w:fill="1E3A8A"/>
            <w:tcMar>
              <w:top w:w="80" w:type="dxa"/>
              <w:bottom w:w="80" w:type="dxa"/>
              <w:left w:w="120" w:type="dxa"/>
              <w:right w:w="120" w:type="dxa"/>
            </w:tcMar>
          </w:tcPr>
          <w:p>
            <w:pPr>
              <w:spacing w:before="40" w:after="40" w:line="276" w:lineRule="auto"/>
            </w:pPr>
            <w:r>
              <w:rPr>
                <w:rFonts w:ascii="Calibri" w:hAnsi="Calibri"/>
                <w:b/>
                <w:color w:val="FFFFFF"/>
                <w:sz w:val="15"/>
              </w:rPr>
              <w:t>Review/test evidence</w:t>
            </w:r>
          </w:p>
        </w:tc>
        <w:tc>
          <w:tcPr>
            <w:tcW w:type="dxa" w:w="1461"/>
            <w:shd w:fill="1E3A8A"/>
            <w:tcMar>
              <w:top w:w="80" w:type="dxa"/>
              <w:bottom w:w="80" w:type="dxa"/>
              <w:left w:w="120" w:type="dxa"/>
              <w:right w:w="120" w:type="dxa"/>
            </w:tcMar>
          </w:tcPr>
          <w:p>
            <w:pPr>
              <w:spacing w:before="40" w:after="40" w:line="276" w:lineRule="auto"/>
            </w:pPr>
            <w:r>
              <w:rPr>
                <w:rFonts w:ascii="Calibri" w:hAnsi="Calibri"/>
                <w:b/>
                <w:color w:val="FFFFFF"/>
                <w:sz w:val="15"/>
              </w:rPr>
              <w:t>State</w:t>
            </w:r>
          </w:p>
        </w:tc>
      </w:tr>
      <w:tr>
        <w:tc>
          <w:tcPr>
            <w:tcW w:type="dxa" w:w="1461"/>
            <w:shd w:fill="F9FAFB"/>
            <w:tcMar>
              <w:top w:w="80" w:type="dxa"/>
              <w:bottom w:w="80" w:type="dxa"/>
              <w:left w:w="120" w:type="dxa"/>
              <w:right w:w="120" w:type="dxa"/>
            </w:tcMar>
          </w:tcPr>
          <w:p>
            <w:pPr>
              <w:spacing w:before="40" w:after="40" w:line="276" w:lineRule="auto"/>
            </w:pPr>
            <w:r>
              <w:rPr>
                <w:rFonts w:ascii="Calibri" w:hAnsi="Calibri"/>
                <w:b/>
                <w:color w:val="000000"/>
                <w:sz w:val="15"/>
              </w:rPr>
              <w:t>Lifecycle Aggregate &amp; Event Store</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Fatima Khursheed</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Issue #12</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PR #20</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backend/app/domain/borrowing/, postgres_event_store.py</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308 unit tests pass; SHA-256 verified</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Merged</w:t>
            </w:r>
          </w:p>
        </w:tc>
      </w:tr>
      <w:tr>
        <w:tc>
          <w:tcPr>
            <w:tcW w:type="dxa" w:w="1461"/>
            <w:shd w:fill="FFFFFF"/>
            <w:tcMar>
              <w:top w:w="80" w:type="dxa"/>
              <w:bottom w:w="80" w:type="dxa"/>
              <w:left w:w="120" w:type="dxa"/>
              <w:right w:w="120" w:type="dxa"/>
            </w:tcMar>
          </w:tcPr>
          <w:p>
            <w:pPr>
              <w:spacing w:before="40" w:after="40" w:line="276" w:lineRule="auto"/>
            </w:pPr>
            <w:r>
              <w:rPr>
                <w:rFonts w:ascii="Calibri" w:hAnsi="Calibri"/>
                <w:b/>
                <w:color w:val="000000"/>
                <w:sz w:val="15"/>
              </w:rPr>
              <w:t>PostgreSQL Schema &amp; Concurrency</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Fatima Khursheed</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Issue #14</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PR #22</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0001_schema_v2_3.py, test_concurrency.py</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15 integration tests pass; exclusion verified</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Merged</w:t>
            </w:r>
          </w:p>
        </w:tc>
      </w:tr>
      <w:tr>
        <w:tc>
          <w:tcPr>
            <w:tcW w:type="dxa" w:w="1461"/>
            <w:shd w:fill="F9FAFB"/>
            <w:tcMar>
              <w:top w:w="80" w:type="dxa"/>
              <w:bottom w:w="80" w:type="dxa"/>
              <w:left w:w="120" w:type="dxa"/>
              <w:right w:w="120" w:type="dxa"/>
            </w:tcMar>
          </w:tcPr>
          <w:p>
            <w:pPr>
              <w:spacing w:before="40" w:after="40" w:line="276" w:lineRule="auto"/>
            </w:pPr>
            <w:r>
              <w:rPr>
                <w:rFonts w:ascii="Calibri" w:hAnsi="Calibri"/>
                <w:b/>
                <w:color w:val="000000"/>
                <w:sz w:val="15"/>
              </w:rPr>
              <w:t>REST API &amp; JWT Security</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Fatima Khursheed</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Issue #15</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PR #23</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backend/app/api/routes.py, auth.py</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18 API security tests pass</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Merged</w:t>
            </w:r>
          </w:p>
        </w:tc>
      </w:tr>
      <w:tr>
        <w:tc>
          <w:tcPr>
            <w:tcW w:type="dxa" w:w="1461"/>
            <w:shd w:fill="FFFFFF"/>
            <w:tcMar>
              <w:top w:w="80" w:type="dxa"/>
              <w:bottom w:w="80" w:type="dxa"/>
              <w:left w:w="120" w:type="dxa"/>
              <w:right w:w="120" w:type="dxa"/>
            </w:tcMar>
          </w:tcPr>
          <w:p>
            <w:pPr>
              <w:spacing w:before="40" w:after="40" w:line="276" w:lineRule="auto"/>
            </w:pPr>
            <w:r>
              <w:rPr>
                <w:rFonts w:ascii="Calibri" w:hAnsi="Calibri"/>
                <w:b/>
                <w:color w:val="000000"/>
                <w:sz w:val="15"/>
              </w:rPr>
              <w:t>Bayesian Beta Engine Core</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Areeba Javed</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Issue #16</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PR #24</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posterior.py, similarity.py, tests/unit/</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TC-20–24 pass; analytical match verified</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Merged</w:t>
            </w:r>
          </w:p>
        </w:tc>
      </w:tr>
      <w:tr>
        <w:tc>
          <w:tcPr>
            <w:tcW w:type="dxa" w:w="1461"/>
            <w:shd w:fill="F9FAFB"/>
            <w:tcMar>
              <w:top w:w="80" w:type="dxa"/>
              <w:bottom w:w="80" w:type="dxa"/>
              <w:left w:w="120" w:type="dxa"/>
              <w:right w:w="120" w:type="dxa"/>
            </w:tcMar>
          </w:tcPr>
          <w:p>
            <w:pPr>
              <w:spacing w:before="40" w:after="40" w:line="276" w:lineRule="auto"/>
            </w:pPr>
            <w:r>
              <w:rPr>
                <w:rFonts w:ascii="Calibri" w:hAnsi="Calibri"/>
                <w:b/>
                <w:color w:val="000000"/>
                <w:sz w:val="15"/>
              </w:rPr>
              <w:t>Bounded k-Hop Graph Search</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Fatima Khursheed</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Issue #18</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PR #25</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khop.py, test_khop.py, trust_edges.py</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TC-25–28 pass; cycle safety verified</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Merged</w:t>
            </w:r>
          </w:p>
        </w:tc>
      </w:tr>
      <w:tr>
        <w:tc>
          <w:tcPr>
            <w:tcW w:type="dxa" w:w="1461"/>
            <w:shd w:fill="FFFFFF"/>
            <w:tcMar>
              <w:top w:w="80" w:type="dxa"/>
              <w:bottom w:w="80" w:type="dxa"/>
              <w:left w:w="120" w:type="dxa"/>
              <w:right w:w="120" w:type="dxa"/>
            </w:tcMar>
          </w:tcPr>
          <w:p>
            <w:pPr>
              <w:spacing w:before="40" w:after="40" w:line="276" w:lineRule="auto"/>
            </w:pPr>
            <w:r>
              <w:rPr>
                <w:rFonts w:ascii="Calibri" w:hAnsi="Calibri"/>
                <w:b/>
                <w:color w:val="000000"/>
                <w:sz w:val="15"/>
              </w:rPr>
              <w:t>Decision Policy Rules R1–R9</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Areeba Javed</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Issue #19</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PR #26</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policy.py, explanation.py, test_policy.py</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TC-30 pass; structured explanation verified</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Merged</w:t>
            </w:r>
          </w:p>
        </w:tc>
      </w:tr>
      <w:tr>
        <w:tc>
          <w:tcPr>
            <w:tcW w:type="dxa" w:w="1461"/>
            <w:shd w:fill="F9FAFB"/>
            <w:tcMar>
              <w:top w:w="80" w:type="dxa"/>
              <w:bottom w:w="80" w:type="dxa"/>
              <w:left w:w="120" w:type="dxa"/>
              <w:right w:w="120" w:type="dxa"/>
            </w:tcMar>
          </w:tcPr>
          <w:p>
            <w:pPr>
              <w:spacing w:before="40" w:after="40" w:line="276" w:lineRule="auto"/>
            </w:pPr>
            <w:r>
              <w:rPr>
                <w:rFonts w:ascii="Calibri" w:hAnsi="Calibri"/>
                <w:b/>
                <w:color w:val="000000"/>
                <w:sz w:val="15"/>
              </w:rPr>
              <w:t>Lender Evidence UI Screen</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Minahil Kashif</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Issue #21</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PR #28</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AssurancePanel.tsx, RequestModal.tsx</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TC-100 Jest UI tests pass</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Merged</w:t>
            </w:r>
          </w:p>
        </w:tc>
      </w:tr>
    </w:tbl>
    <w:p>
      <w:pPr>
        <w:pStyle w:val="Heading2"/>
        <w:keepNext/>
        <w:spacing w:before="240" w:after="80"/>
      </w:pPr>
      <w:r>
        <w:rPr>
          <w:rFonts w:ascii="Calibri" w:hAnsi="Calibri"/>
          <w:b/>
          <w:color w:val="111827"/>
          <w:sz w:val="24"/>
        </w:rPr>
        <w:t>Repository management and practices</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592"/>
        <w:gridCol w:w="7488"/>
      </w:tblGrid>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Evaluation tag or commit</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Full Commit SHA: 093a16f2a7966a713b0de4181d67d22a8ce675ea (Release Identifier: v0.2.0-mid-freeze, dated October 13, 2026).</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Task tracking method</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GitHub Projects board with automated Kanban automation: Backlog, In Progress, Review / CI Gates, and Done. Pull requests cross-referenced to specific GitHub issues.</w:t>
            </w:r>
          </w:p>
        </w:tc>
      </w:tr>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Review practice</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Mandatory peer code review on all pull requests before squash-merging to develop/main. Automated CI gate checks (Ruff, mypy, Bandit, pytest, Jest, and openapi-typescript contract drift) must pass 100% prior to review approval.</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Large or late commits</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Deterministic synthetic scenario dataset generator (neighborhood-sim) committed in batch; all application code developed and reviewed in granular feature branches.</w:t>
            </w:r>
          </w:p>
        </w:tc>
      </w:tr>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Integration responsibility</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Fatima integrated event store with application services; Areeba integrated assurance engine with API routes; Minahil integrated Expo client with OpenAPI contracts. Merge conflicts resolved via peer rebase sessions.</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Team coordination evidence</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Bi-weekly supervisory progress meetings with Dr. Ali Zeeshan, Discord daily async syncs, detailed commit history, and GitHub pull request discussion threads.</w:t>
            </w:r>
          </w:p>
        </w:tc>
      </w:tr>
    </w:tbl>
    <w:p>
      <w:pPr>
        <w:pStyle w:val="Heading1"/>
        <w:keepNext/>
        <w:spacing w:before="240" w:after="80"/>
      </w:pPr>
      <w:r>
        <w:rPr>
          <w:rFonts w:ascii="Calibri" w:hAnsi="Calibri"/>
          <w:b/>
          <w:color w:val="1E3A8A"/>
          <w:sz w:val="28"/>
        </w:rPr>
        <w:t>8 Testing and early validation</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864"/>
        <w:gridCol w:w="1584"/>
        <w:gridCol w:w="2160"/>
        <w:gridCol w:w="2160"/>
        <w:gridCol w:w="1008"/>
        <w:gridCol w:w="1152"/>
        <w:gridCol w:w="1152"/>
      </w:tblGrid>
      <w:tr>
        <w:tc>
          <w:tcPr>
            <w:tcW w:type="dxa" w:w="1461"/>
            <w:shd w:fill="1E3A8A"/>
            <w:tcMar>
              <w:top w:w="80" w:type="dxa"/>
              <w:bottom w:w="80" w:type="dxa"/>
              <w:left w:w="120" w:type="dxa"/>
              <w:right w:w="120" w:type="dxa"/>
            </w:tcMar>
          </w:tcPr>
          <w:p>
            <w:pPr>
              <w:spacing w:before="40" w:after="40" w:line="276" w:lineRule="auto"/>
            </w:pPr>
            <w:r>
              <w:rPr>
                <w:rFonts w:ascii="Calibri" w:hAnsi="Calibri"/>
                <w:b/>
                <w:color w:val="FFFFFF"/>
                <w:sz w:val="15"/>
              </w:rPr>
              <w:t>Test ID</w:t>
            </w:r>
          </w:p>
        </w:tc>
        <w:tc>
          <w:tcPr>
            <w:tcW w:type="dxa" w:w="1461"/>
            <w:shd w:fill="1E3A8A"/>
            <w:tcMar>
              <w:top w:w="80" w:type="dxa"/>
              <w:bottom w:w="80" w:type="dxa"/>
              <w:left w:w="120" w:type="dxa"/>
              <w:right w:w="120" w:type="dxa"/>
            </w:tcMar>
          </w:tcPr>
          <w:p>
            <w:pPr>
              <w:spacing w:before="40" w:after="40" w:line="276" w:lineRule="auto"/>
            </w:pPr>
            <w:r>
              <w:rPr>
                <w:rFonts w:ascii="Calibri" w:hAnsi="Calibri"/>
                <w:b/>
                <w:color w:val="FFFFFF"/>
                <w:sz w:val="15"/>
              </w:rPr>
              <w:t>Requirement / Module</w:t>
            </w:r>
          </w:p>
        </w:tc>
        <w:tc>
          <w:tcPr>
            <w:tcW w:type="dxa" w:w="1461"/>
            <w:shd w:fill="1E3A8A"/>
            <w:tcMar>
              <w:top w:w="80" w:type="dxa"/>
              <w:bottom w:w="80" w:type="dxa"/>
              <w:left w:w="120" w:type="dxa"/>
              <w:right w:w="120" w:type="dxa"/>
            </w:tcMar>
          </w:tcPr>
          <w:p>
            <w:pPr>
              <w:spacing w:before="40" w:after="40" w:line="276" w:lineRule="auto"/>
            </w:pPr>
            <w:r>
              <w:rPr>
                <w:rFonts w:ascii="Calibri" w:hAnsi="Calibri"/>
                <w:b/>
                <w:color w:val="FFFFFF"/>
                <w:sz w:val="15"/>
              </w:rPr>
              <w:t>Method and data</w:t>
            </w:r>
          </w:p>
        </w:tc>
        <w:tc>
          <w:tcPr>
            <w:tcW w:type="dxa" w:w="1461"/>
            <w:shd w:fill="1E3A8A"/>
            <w:tcMar>
              <w:top w:w="80" w:type="dxa"/>
              <w:bottom w:w="80" w:type="dxa"/>
              <w:left w:w="120" w:type="dxa"/>
              <w:right w:w="120" w:type="dxa"/>
            </w:tcMar>
          </w:tcPr>
          <w:p>
            <w:pPr>
              <w:spacing w:before="40" w:after="40" w:line="276" w:lineRule="auto"/>
            </w:pPr>
            <w:r>
              <w:rPr>
                <w:rFonts w:ascii="Calibri" w:hAnsi="Calibri"/>
                <w:b/>
                <w:color w:val="FFFFFF"/>
                <w:sz w:val="15"/>
              </w:rPr>
              <w:t>Expected result</w:t>
            </w:r>
          </w:p>
        </w:tc>
        <w:tc>
          <w:tcPr>
            <w:tcW w:type="dxa" w:w="1461"/>
            <w:shd w:fill="1E3A8A"/>
            <w:tcMar>
              <w:top w:w="80" w:type="dxa"/>
              <w:bottom w:w="80" w:type="dxa"/>
              <w:left w:w="120" w:type="dxa"/>
              <w:right w:w="120" w:type="dxa"/>
            </w:tcMar>
          </w:tcPr>
          <w:p>
            <w:pPr>
              <w:spacing w:before="40" w:after="40" w:line="276" w:lineRule="auto"/>
            </w:pPr>
            <w:r>
              <w:rPr>
                <w:rFonts w:ascii="Calibri" w:hAnsi="Calibri"/>
                <w:b/>
                <w:color w:val="FFFFFF"/>
                <w:sz w:val="15"/>
              </w:rPr>
              <w:t>Actual result</w:t>
            </w:r>
          </w:p>
        </w:tc>
        <w:tc>
          <w:tcPr>
            <w:tcW w:type="dxa" w:w="1461"/>
            <w:shd w:fill="1E3A8A"/>
            <w:tcMar>
              <w:top w:w="80" w:type="dxa"/>
              <w:bottom w:w="80" w:type="dxa"/>
              <w:left w:w="120" w:type="dxa"/>
              <w:right w:w="120" w:type="dxa"/>
            </w:tcMar>
          </w:tcPr>
          <w:p>
            <w:pPr>
              <w:spacing w:before="40" w:after="40" w:line="276" w:lineRule="auto"/>
            </w:pPr>
            <w:r>
              <w:rPr>
                <w:rFonts w:ascii="Calibri" w:hAnsi="Calibri"/>
                <w:b/>
                <w:color w:val="FFFFFF"/>
                <w:sz w:val="15"/>
              </w:rPr>
              <w:t>Evidence</w:t>
            </w:r>
          </w:p>
        </w:tc>
        <w:tc>
          <w:tcPr>
            <w:tcW w:type="dxa" w:w="1461"/>
            <w:shd w:fill="1E3A8A"/>
            <w:tcMar>
              <w:top w:w="80" w:type="dxa"/>
              <w:bottom w:w="80" w:type="dxa"/>
              <w:left w:w="120" w:type="dxa"/>
              <w:right w:w="120" w:type="dxa"/>
            </w:tcMar>
          </w:tcPr>
          <w:p>
            <w:pPr>
              <w:spacing w:before="40" w:after="40" w:line="276" w:lineRule="auto"/>
            </w:pPr>
            <w:r>
              <w:rPr>
                <w:rFonts w:ascii="Calibri" w:hAnsi="Calibri"/>
                <w:b/>
                <w:color w:val="FFFFFF"/>
                <w:sz w:val="15"/>
              </w:rPr>
              <w:t>Owner</w:t>
            </w:r>
          </w:p>
        </w:tc>
      </w:tr>
      <w:tr>
        <w:tc>
          <w:tcPr>
            <w:tcW w:type="dxa" w:w="1461"/>
            <w:shd w:fill="F9FAFB"/>
            <w:tcMar>
              <w:top w:w="80" w:type="dxa"/>
              <w:bottom w:w="80" w:type="dxa"/>
              <w:left w:w="120" w:type="dxa"/>
              <w:right w:w="120" w:type="dxa"/>
            </w:tcMar>
          </w:tcPr>
          <w:p>
            <w:pPr>
              <w:spacing w:before="40" w:after="40" w:line="276" w:lineRule="auto"/>
            </w:pPr>
            <w:r>
              <w:rPr>
                <w:rFonts w:ascii="Calibri" w:hAnsi="Calibri"/>
                <w:b/>
                <w:color w:val="000000"/>
                <w:sz w:val="15"/>
              </w:rPr>
              <w:t>TC-01</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FR-L-03 Lifecycle</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Unit: pytest against TransitionTable</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All 14 valid transitions transition aggregate to target state</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Pass (14/14)</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test_transitions.py</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Fatima</w:t>
            </w:r>
          </w:p>
        </w:tc>
      </w:tr>
      <w:tr>
        <w:tc>
          <w:tcPr>
            <w:tcW w:type="dxa" w:w="1461"/>
            <w:shd w:fill="FFFFFF"/>
            <w:tcMar>
              <w:top w:w="80" w:type="dxa"/>
              <w:bottom w:w="80" w:type="dxa"/>
              <w:left w:w="120" w:type="dxa"/>
              <w:right w:w="120" w:type="dxa"/>
            </w:tcMar>
          </w:tcPr>
          <w:p>
            <w:pPr>
              <w:spacing w:before="40" w:after="40" w:line="276" w:lineRule="auto"/>
            </w:pPr>
            <w:r>
              <w:rPr>
                <w:rFonts w:ascii="Calibri" w:hAnsi="Calibri"/>
                <w:b/>
                <w:color w:val="000000"/>
                <w:sz w:val="15"/>
              </w:rPr>
              <w:t>TC-02</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FR-L-03 Lifecycle</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Unit: exhaustive matrix of invalid pairs</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All 280 invalid transition pairs raise InvalidStateTransitionError</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Pass (280/280)</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test_transitions.py</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Fatima</w:t>
            </w:r>
          </w:p>
        </w:tc>
      </w:tr>
      <w:tr>
        <w:tc>
          <w:tcPr>
            <w:tcW w:type="dxa" w:w="1461"/>
            <w:shd w:fill="F9FAFB"/>
            <w:tcMar>
              <w:top w:w="80" w:type="dxa"/>
              <w:bottom w:w="80" w:type="dxa"/>
              <w:left w:w="120" w:type="dxa"/>
              <w:right w:w="120" w:type="dxa"/>
            </w:tcMar>
          </w:tcPr>
          <w:p>
            <w:pPr>
              <w:spacing w:before="40" w:after="40" w:line="276" w:lineRule="auto"/>
            </w:pPr>
            <w:r>
              <w:rPr>
                <w:rFonts w:ascii="Calibri" w:hAnsi="Calibri"/>
                <w:b/>
                <w:color w:val="000000"/>
                <w:sz w:val="15"/>
              </w:rPr>
              <w:t>TC-05</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NFR-REL-01 Event Store</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Integration: PostgreSQL 16 event log replay</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Historical events replay to exact bitwise state; gaps rejected</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Pass (15/15)</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test_event_store.py</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Fatima</w:t>
            </w:r>
          </w:p>
        </w:tc>
      </w:tr>
      <w:tr>
        <w:tc>
          <w:tcPr>
            <w:tcW w:type="dxa" w:w="1461"/>
            <w:shd w:fill="FFFFFF"/>
            <w:tcMar>
              <w:top w:w="80" w:type="dxa"/>
              <w:bottom w:w="80" w:type="dxa"/>
              <w:left w:w="120" w:type="dxa"/>
              <w:right w:w="120" w:type="dxa"/>
            </w:tcMar>
          </w:tcPr>
          <w:p>
            <w:pPr>
              <w:spacing w:before="40" w:after="40" w:line="276" w:lineRule="auto"/>
            </w:pPr>
            <w:r>
              <w:rPr>
                <w:rFonts w:ascii="Calibri" w:hAnsi="Calibri"/>
                <w:b/>
                <w:color w:val="000000"/>
                <w:sz w:val="15"/>
              </w:rPr>
              <w:t>TC-08</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NFR-CONC-01 Concurrency</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Integration: 5 concurrent threads accepting overlapping dates</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Exactly 1 request accepted; other 4 aborted by DB exclusion</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Pass (5 threads)</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test_concurrency.py</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Fatima</w:t>
            </w:r>
          </w:p>
        </w:tc>
      </w:tr>
      <w:tr>
        <w:tc>
          <w:tcPr>
            <w:tcW w:type="dxa" w:w="1461"/>
            <w:shd w:fill="F9FAFB"/>
            <w:tcMar>
              <w:top w:w="80" w:type="dxa"/>
              <w:bottom w:w="80" w:type="dxa"/>
              <w:left w:w="120" w:type="dxa"/>
              <w:right w:w="120" w:type="dxa"/>
            </w:tcMar>
          </w:tcPr>
          <w:p>
            <w:pPr>
              <w:spacing w:before="40" w:after="40" w:line="276" w:lineRule="auto"/>
            </w:pPr>
            <w:r>
              <w:rPr>
                <w:rFonts w:ascii="Calibri" w:hAnsi="Calibri"/>
                <w:b/>
                <w:color w:val="000000"/>
                <w:sz w:val="15"/>
              </w:rPr>
              <w:t>TC-15</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NFR-PRIV-01 Privacy</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API: automated response payload recursive key scan</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Zero GPS coordinates, street addresses, or CNICs in responses</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Pass (18 endpoints)</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test_privacy.py</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Fatima</w:t>
            </w:r>
          </w:p>
        </w:tc>
      </w:tr>
      <w:tr>
        <w:tc>
          <w:tcPr>
            <w:tcW w:type="dxa" w:w="1461"/>
            <w:shd w:fill="FFFFFF"/>
            <w:tcMar>
              <w:top w:w="80" w:type="dxa"/>
              <w:bottom w:w="80" w:type="dxa"/>
              <w:left w:w="120" w:type="dxa"/>
              <w:right w:w="120" w:type="dxa"/>
            </w:tcMar>
          </w:tcPr>
          <w:p>
            <w:pPr>
              <w:spacing w:before="40" w:after="40" w:line="276" w:lineRule="auto"/>
            </w:pPr>
            <w:r>
              <w:rPr>
                <w:rFonts w:ascii="Calibri" w:hAnsi="Calibri"/>
                <w:b/>
                <w:color w:val="000000"/>
                <w:sz w:val="15"/>
              </w:rPr>
              <w:t>TC-20</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FR-T-01 Beta Estimation</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Hypothesis property-based tests + analytical oracle</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Posterior mean and 90% credible interval match analytical bounds</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Pass (24/24)</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test_posterior.py</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Areeba</w:t>
            </w:r>
          </w:p>
        </w:tc>
      </w:tr>
      <w:tr>
        <w:tc>
          <w:tcPr>
            <w:tcW w:type="dxa" w:w="1461"/>
            <w:shd w:fill="F9FAFB"/>
            <w:tcMar>
              <w:top w:w="80" w:type="dxa"/>
              <w:bottom w:w="80" w:type="dxa"/>
              <w:left w:w="120" w:type="dxa"/>
              <w:right w:w="120" w:type="dxa"/>
            </w:tcMar>
          </w:tcPr>
          <w:p>
            <w:pPr>
              <w:spacing w:before="40" w:after="40" w:line="276" w:lineRule="auto"/>
            </w:pPr>
            <w:r>
              <w:rPr>
                <w:rFonts w:ascii="Calibri" w:hAnsi="Calibri"/>
                <w:b/>
                <w:color w:val="000000"/>
                <w:sz w:val="15"/>
              </w:rPr>
              <w:t>TC-25</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FR-T-02 k-Hop Search</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Algorithm: NetworkX synthetic social graphs</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Discovers valid paths &lt;= 3 hops; applies decay; cycle-safe</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Pass (16/16)</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test_khop.py</w:t>
            </w:r>
          </w:p>
        </w:tc>
        <w:tc>
          <w:tcPr>
            <w:tcW w:type="dxa" w:w="1461"/>
            <w:shd w:fill="F9FAFB"/>
            <w:tcMar>
              <w:top w:w="80" w:type="dxa"/>
              <w:bottom w:w="80" w:type="dxa"/>
              <w:left w:w="120" w:type="dxa"/>
              <w:right w:w="120" w:type="dxa"/>
            </w:tcMar>
          </w:tcPr>
          <w:p>
            <w:pPr>
              <w:spacing w:before="40" w:after="40" w:line="276" w:lineRule="auto"/>
            </w:pPr>
            <w:r>
              <w:rPr>
                <w:rFonts w:ascii="Calibri" w:hAnsi="Calibri"/>
                <w:b w:val="0"/>
                <w:color w:val="000000"/>
                <w:sz w:val="15"/>
              </w:rPr>
              <w:t>Fatima</w:t>
            </w:r>
          </w:p>
        </w:tc>
      </w:tr>
      <w:tr>
        <w:tc>
          <w:tcPr>
            <w:tcW w:type="dxa" w:w="1461"/>
            <w:shd w:fill="FFFFFF"/>
            <w:tcMar>
              <w:top w:w="80" w:type="dxa"/>
              <w:bottom w:w="80" w:type="dxa"/>
              <w:left w:w="120" w:type="dxa"/>
              <w:right w:w="120" w:type="dxa"/>
            </w:tcMar>
          </w:tcPr>
          <w:p>
            <w:pPr>
              <w:spacing w:before="40" w:after="40" w:line="276" w:lineRule="auto"/>
            </w:pPr>
            <w:r>
              <w:rPr>
                <w:rFonts w:ascii="Calibri" w:hAnsi="Calibri"/>
                <w:b/>
                <w:color w:val="000000"/>
                <w:sz w:val="15"/>
              </w:rPr>
              <w:t>TC-100</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FR-T-05 Evidence UI</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Jest: Expo Web component rendering</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Renders interval bar, path graph, and safeguards cleanly</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Pass (6/6)</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AssurancePanel.test.tsx</w:t>
            </w:r>
          </w:p>
        </w:tc>
        <w:tc>
          <w:tcPr>
            <w:tcW w:type="dxa" w:w="1461"/>
            <w:shd w:fill="FFFFFF"/>
            <w:tcMar>
              <w:top w:w="80" w:type="dxa"/>
              <w:bottom w:w="80" w:type="dxa"/>
              <w:left w:w="120" w:type="dxa"/>
              <w:right w:w="120" w:type="dxa"/>
            </w:tcMar>
          </w:tcPr>
          <w:p>
            <w:pPr>
              <w:spacing w:before="40" w:after="40" w:line="276" w:lineRule="auto"/>
            </w:pPr>
            <w:r>
              <w:rPr>
                <w:rFonts w:ascii="Calibri" w:hAnsi="Calibri"/>
                <w:b w:val="0"/>
                <w:color w:val="000000"/>
                <w:sz w:val="15"/>
              </w:rPr>
              <w:t>Minahil</w:t>
            </w:r>
          </w:p>
        </w:tc>
      </w:tr>
    </w:tbl>
    <w:p>
      <w:pPr>
        <w:pStyle w:val="Heading2"/>
        <w:keepNext/>
        <w:spacing w:before="240" w:after="80"/>
      </w:pPr>
      <w:r>
        <w:rPr>
          <w:rFonts w:ascii="Calibri" w:hAnsi="Calibri"/>
          <w:b/>
          <w:color w:val="111827"/>
          <w:sz w:val="24"/>
        </w:rPr>
        <w:t>Required failure or edge case discussion</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592"/>
        <w:gridCol w:w="7488"/>
      </w:tblGrid>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Case selected</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Concurrent asset reservation race condition (two clients simultaneously attempting to accept/book the identical tool for overlapping calendar dates).</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Why it matters</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In peer-to-peer physical asset sharing, double-booking creates immediate real-world conflict, embarrassment, unfulfilled reservations, and reputational destruction. Relying purely on application-level locks fails under multi-process or clustered web deployments.</w:t>
            </w:r>
          </w:p>
        </w:tc>
      </w:tr>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Observed behavior</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When five concurrent threads execute simultaneous accept commands against the same item for overlapping tsrange dates, the PostgreSQL 16 storage engine executes the btree_gist exclusion check at commit boundary. Exactly 1 transaction successfully commits (HTTP 200), while the remaining 4 transactions immediately raise an ExclusionViolation. The application service intercepts this error and gracefully returns an HTTP 409 Conflict with a structured resolution payload, preventing duplicate reservations with zero data corruption.</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Interpretation</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What it establishes: Proves that concurrency invariants are guaranteed mathematically at the database persistence tier rather than depending on error-prone in-memory state. What it does not establish: Multi-region active-active database replication latency (scoped for FYP-2).</w:t>
            </w:r>
          </w:p>
        </w:tc>
      </w:tr>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Corrective action</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None required; the exclusion constraint architecture functioned exactly as designed. Automated multi-threaded regression test (tests/integration/test_concurrency.py) runs continuously in GitHub Actions CI.</w:t>
            </w:r>
          </w:p>
        </w:tc>
      </w:tr>
    </w:tbl>
    <w:p>
      <w:pPr>
        <w:pStyle w:val="Heading2"/>
        <w:keepNext/>
        <w:spacing w:before="240" w:after="80"/>
      </w:pPr>
      <w:r>
        <w:rPr>
          <w:rFonts w:ascii="Calibri" w:hAnsi="Calibri"/>
          <w:b/>
          <w:color w:val="111827"/>
          <w:sz w:val="24"/>
        </w:rPr>
        <w:t>Validation quality</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304"/>
        <w:gridCol w:w="2592"/>
        <w:gridCol w:w="2592"/>
        <w:gridCol w:w="2592"/>
      </w:tblGrid>
      <w:tr>
        <w:tc>
          <w:tcPr>
            <w:tcW w:type="dxa" w:w="2556"/>
            <w:shd w:fill="1E3A8A"/>
            <w:tcMar>
              <w:top w:w="80" w:type="dxa"/>
              <w:bottom w:w="80" w:type="dxa"/>
              <w:left w:w="120" w:type="dxa"/>
              <w:right w:w="120" w:type="dxa"/>
            </w:tcMar>
          </w:tcPr>
          <w:p>
            <w:pPr>
              <w:spacing w:before="40" w:after="40" w:line="276" w:lineRule="auto"/>
            </w:pPr>
            <w:r>
              <w:rPr>
                <w:rFonts w:ascii="Calibri" w:hAnsi="Calibri"/>
                <w:b/>
                <w:color w:val="FFFFFF"/>
                <w:sz w:val="16"/>
              </w:rPr>
              <w:t>Area</w:t>
            </w:r>
          </w:p>
        </w:tc>
        <w:tc>
          <w:tcPr>
            <w:tcW w:type="dxa" w:w="2556"/>
            <w:shd w:fill="1E3A8A"/>
            <w:tcMar>
              <w:top w:w="80" w:type="dxa"/>
              <w:bottom w:w="80" w:type="dxa"/>
              <w:left w:w="120" w:type="dxa"/>
              <w:right w:w="120" w:type="dxa"/>
            </w:tcMar>
          </w:tcPr>
          <w:p>
            <w:pPr>
              <w:spacing w:before="40" w:after="40" w:line="276" w:lineRule="auto"/>
            </w:pPr>
            <w:r>
              <w:rPr>
                <w:rFonts w:ascii="Calibri" w:hAnsi="Calibri"/>
                <w:b/>
                <w:color w:val="FFFFFF"/>
                <w:sz w:val="16"/>
              </w:rPr>
              <w:t>Current evidence</w:t>
            </w:r>
          </w:p>
        </w:tc>
        <w:tc>
          <w:tcPr>
            <w:tcW w:type="dxa" w:w="2556"/>
            <w:shd w:fill="1E3A8A"/>
            <w:tcMar>
              <w:top w:w="80" w:type="dxa"/>
              <w:bottom w:w="80" w:type="dxa"/>
              <w:left w:w="120" w:type="dxa"/>
              <w:right w:w="120" w:type="dxa"/>
            </w:tcMar>
          </w:tcPr>
          <w:p>
            <w:pPr>
              <w:spacing w:before="40" w:after="40" w:line="276" w:lineRule="auto"/>
            </w:pPr>
            <w:r>
              <w:rPr>
                <w:rFonts w:ascii="Calibri" w:hAnsi="Calibri"/>
                <w:b/>
                <w:color w:val="FFFFFF"/>
                <w:sz w:val="16"/>
              </w:rPr>
              <w:t>Limitation</w:t>
            </w:r>
          </w:p>
        </w:tc>
        <w:tc>
          <w:tcPr>
            <w:tcW w:type="dxa" w:w="2556"/>
            <w:shd w:fill="1E3A8A"/>
            <w:tcMar>
              <w:top w:w="80" w:type="dxa"/>
              <w:bottom w:w="80" w:type="dxa"/>
              <w:left w:w="120" w:type="dxa"/>
              <w:right w:w="120" w:type="dxa"/>
            </w:tcMar>
          </w:tcPr>
          <w:p>
            <w:pPr>
              <w:spacing w:before="40" w:after="40" w:line="276" w:lineRule="auto"/>
            </w:pPr>
            <w:r>
              <w:rPr>
                <w:rFonts w:ascii="Calibri" w:hAnsi="Calibri"/>
                <w:b/>
                <w:color w:val="FFFFFF"/>
                <w:sz w:val="16"/>
              </w:rPr>
              <w:t>Next validation action</w:t>
            </w:r>
          </w:p>
        </w:tc>
      </w:tr>
      <w:tr>
        <w:tc>
          <w:tcPr>
            <w:tcW w:type="dxa" w:w="2556"/>
            <w:shd w:fill="F9FAFB"/>
            <w:tcMar>
              <w:top w:w="80" w:type="dxa"/>
              <w:bottom w:w="80" w:type="dxa"/>
              <w:left w:w="120" w:type="dxa"/>
              <w:right w:w="120" w:type="dxa"/>
            </w:tcMar>
          </w:tcPr>
          <w:p>
            <w:pPr>
              <w:spacing w:before="40" w:after="40" w:line="276" w:lineRule="auto"/>
            </w:pPr>
            <w:r>
              <w:rPr>
                <w:rFonts w:ascii="Calibri" w:hAnsi="Calibri"/>
                <w:b/>
                <w:color w:val="000000"/>
                <w:sz w:val="16"/>
              </w:rPr>
              <w:t>Functional correctness</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390+ unit, integration, and scenario tests passing; 100% state machine validity</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Synthetic dataset evaluated; real-world behavioral quirks absent</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Conduct 30-user residential pilot in FYP-2</w:t>
            </w:r>
          </w:p>
        </w:tc>
      </w:tr>
      <w:tr>
        <w:tc>
          <w:tcPr>
            <w:tcW w:type="dxa" w:w="2556"/>
            <w:shd w:fill="FFFFFF"/>
            <w:tcMar>
              <w:top w:w="80" w:type="dxa"/>
              <w:bottom w:w="80" w:type="dxa"/>
              <w:left w:w="120" w:type="dxa"/>
              <w:right w:w="120" w:type="dxa"/>
            </w:tcMar>
          </w:tcPr>
          <w:p>
            <w:pPr>
              <w:spacing w:before="40" w:after="40" w:line="276" w:lineRule="auto"/>
            </w:pPr>
            <w:r>
              <w:rPr>
                <w:rFonts w:ascii="Calibri" w:hAnsi="Calibri"/>
                <w:b/>
                <w:color w:val="000000"/>
                <w:sz w:val="16"/>
              </w:rPr>
              <w:t>Performance / resource use</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Assurance engine executes in &lt;18ms (well within sub-250ms NFR-PERF-01 gate)</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Tested on single-node Render/Neon; distributed load untested</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Execute 500-user Locust load test drill in FYP-2</w:t>
            </w:r>
          </w:p>
        </w:tc>
      </w:tr>
      <w:tr>
        <w:tc>
          <w:tcPr>
            <w:tcW w:type="dxa" w:w="2556"/>
            <w:shd w:fill="F9FAFB"/>
            <w:tcMar>
              <w:top w:w="80" w:type="dxa"/>
              <w:bottom w:w="80" w:type="dxa"/>
              <w:left w:w="120" w:type="dxa"/>
              <w:right w:w="120" w:type="dxa"/>
            </w:tcMar>
          </w:tcPr>
          <w:p>
            <w:pPr>
              <w:spacing w:before="40" w:after="40" w:line="276" w:lineRule="auto"/>
            </w:pPr>
            <w:r>
              <w:rPr>
                <w:rFonts w:ascii="Calibri" w:hAnsi="Calibri"/>
                <w:b/>
                <w:color w:val="000000"/>
                <w:sz w:val="16"/>
              </w:rPr>
              <w:t>Model / algorithm quality</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Hypothesis tests prove monotonicity; credible interval coverage aligns with math</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Prior parameters alpha_0, beta_0 calibrated via literature rather than local field data</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Calibrate prior parameters against empirical loan outcomes</w:t>
            </w:r>
          </w:p>
        </w:tc>
      </w:tr>
      <w:tr>
        <w:tc>
          <w:tcPr>
            <w:tcW w:type="dxa" w:w="2556"/>
            <w:shd w:fill="FFFFFF"/>
            <w:tcMar>
              <w:top w:w="80" w:type="dxa"/>
              <w:bottom w:w="80" w:type="dxa"/>
              <w:left w:w="120" w:type="dxa"/>
              <w:right w:w="120" w:type="dxa"/>
            </w:tcMar>
          </w:tcPr>
          <w:p>
            <w:pPr>
              <w:spacing w:before="40" w:after="40" w:line="276" w:lineRule="auto"/>
            </w:pPr>
            <w:r>
              <w:rPr>
                <w:rFonts w:ascii="Calibri" w:hAnsi="Calibri"/>
                <w:b/>
                <w:color w:val="000000"/>
                <w:sz w:val="16"/>
              </w:rPr>
              <w:t>User / field validation</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Formative UI walkthroughs with 8 local community residents; W1–W7 wireframe feedback</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Small sample size (N=8); mobile usability on low-end Android pending</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Conduct usability testing on low-end Android devices</w:t>
            </w:r>
          </w:p>
        </w:tc>
      </w:tr>
      <w:tr>
        <w:tc>
          <w:tcPr>
            <w:tcW w:type="dxa" w:w="2556"/>
            <w:shd w:fill="F9FAFB"/>
            <w:tcMar>
              <w:top w:w="80" w:type="dxa"/>
              <w:bottom w:w="80" w:type="dxa"/>
              <w:left w:w="120" w:type="dxa"/>
              <w:right w:w="120" w:type="dxa"/>
            </w:tcMar>
          </w:tcPr>
          <w:p>
            <w:pPr>
              <w:spacing w:before="40" w:after="40" w:line="276" w:lineRule="auto"/>
            </w:pPr>
            <w:r>
              <w:rPr>
                <w:rFonts w:ascii="Calibri" w:hAnsi="Calibri"/>
                <w:b/>
                <w:color w:val="000000"/>
                <w:sz w:val="16"/>
              </w:rPr>
              <w:t>Security / privacy / safety</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Argon2 password hashing; automated privacy scan confirms zero GPS in API schemas</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Production HTTPS certificates rely on Render managed domain</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Configure custom domain and automated SSL rotation in FYP-2</w:t>
            </w:r>
          </w:p>
        </w:tc>
      </w:tr>
    </w:tbl>
    <w:p>
      <w:pPr>
        <w:pStyle w:val="Heading1"/>
        <w:keepNext/>
        <w:spacing w:before="240" w:after="80"/>
      </w:pPr>
      <w:r>
        <w:rPr>
          <w:rFonts w:ascii="Calibri" w:hAnsi="Calibri"/>
          <w:b/>
          <w:color w:val="1E3A8A"/>
          <w:sz w:val="28"/>
        </w:rPr>
        <w:t>9 Mid report preparation record</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304"/>
        <w:gridCol w:w="2448"/>
        <w:gridCol w:w="1152"/>
        <w:gridCol w:w="1872"/>
        <w:gridCol w:w="1296"/>
        <w:gridCol w:w="1008"/>
      </w:tblGrid>
      <w:tr>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Official report criterion</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What the report contains</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Section / page</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Primary artefact or evidence</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Owner</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6"/>
              </w:rPr>
              <w:t>Ready</w:t>
            </w:r>
          </w:p>
        </w:tc>
      </w:tr>
      <w:tr>
        <w:tc>
          <w:tcPr>
            <w:tcW w:type="dxa" w:w="1704"/>
            <w:shd w:fill="F9FAFB"/>
            <w:tcMar>
              <w:top w:w="80" w:type="dxa"/>
              <w:bottom w:w="80" w:type="dxa"/>
              <w:left w:w="120" w:type="dxa"/>
              <w:right w:w="120" w:type="dxa"/>
            </w:tcMar>
          </w:tcPr>
          <w:p>
            <w:pPr>
              <w:spacing w:before="40" w:after="40" w:line="276" w:lineRule="auto"/>
            </w:pPr>
            <w:r>
              <w:rPr>
                <w:rFonts w:ascii="Calibri" w:hAnsi="Calibri"/>
                <w:b/>
                <w:color w:val="000000"/>
                <w:sz w:val="16"/>
              </w:rPr>
              <w:t>Report format and required artefacts present</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Complete FAST-NUCES BS FYP format: 1-page cover, declarations, abstract, 60 pages, IEEE refs</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Front Matter &amp; Ch. 1–10</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DigitalMohalla_FYP1_Mid_Report.pdf</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All Group</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Yes</w:t>
            </w:r>
          </w:p>
        </w:tc>
      </w:tr>
      <w:tr>
        <w:tc>
          <w:tcPr>
            <w:tcW w:type="dxa" w:w="1704"/>
            <w:shd w:fill="FFFFFF"/>
            <w:tcMar>
              <w:top w:w="80" w:type="dxa"/>
              <w:bottom w:w="80" w:type="dxa"/>
              <w:left w:w="120" w:type="dxa"/>
              <w:right w:w="120" w:type="dxa"/>
            </w:tcMar>
          </w:tcPr>
          <w:p>
            <w:pPr>
              <w:spacing w:before="40" w:after="40" w:line="276" w:lineRule="auto"/>
            </w:pPr>
            <w:r>
              <w:rPr>
                <w:rFonts w:ascii="Calibri" w:hAnsi="Calibri"/>
                <w:b/>
                <w:color w:val="000000"/>
                <w:sz w:val="16"/>
              </w:rPr>
              <w:t>Problem formulation, R&amp;D and existing solution analysis</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Deep review of 22 IEEE/ACM papers, comparative matrix of 6 platforms, economic friction analysis</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Chapter 2, pp. 11–18</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Comparative Matrix (Table 2.1)</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Areeba Javed</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Yes</w:t>
            </w:r>
          </w:p>
        </w:tc>
      </w:tr>
      <w:tr>
        <w:tc>
          <w:tcPr>
            <w:tcW w:type="dxa" w:w="1704"/>
            <w:shd w:fill="F9FAFB"/>
            <w:tcMar>
              <w:top w:w="80" w:type="dxa"/>
              <w:bottom w:w="80" w:type="dxa"/>
              <w:left w:w="120" w:type="dxa"/>
              <w:right w:w="120" w:type="dxa"/>
            </w:tcMar>
          </w:tcPr>
          <w:p>
            <w:pPr>
              <w:spacing w:before="40" w:after="40" w:line="276" w:lineRule="auto"/>
            </w:pPr>
            <w:r>
              <w:rPr>
                <w:rFonts w:ascii="Calibri" w:hAnsi="Calibri"/>
                <w:b/>
                <w:color w:val="000000"/>
                <w:sz w:val="16"/>
              </w:rPr>
              <w:t>Project vision, scope, modules and success criteria</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Detailed project charter, vertical slice boundaries (Slices A–C), explicit exclusions, success criteria</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Chapters 1 &amp; 3, pp. 7–10, 19–24</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Iteration Plan (Table 3.1)</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All Group</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Yes</w:t>
            </w:r>
          </w:p>
        </w:tc>
      </w:tr>
      <w:tr>
        <w:tc>
          <w:tcPr>
            <w:tcW w:type="dxa" w:w="1704"/>
            <w:shd w:fill="FFFFFF"/>
            <w:tcMar>
              <w:top w:w="80" w:type="dxa"/>
              <w:bottom w:w="80" w:type="dxa"/>
              <w:left w:w="120" w:type="dxa"/>
              <w:right w:w="120" w:type="dxa"/>
            </w:tcMar>
          </w:tcPr>
          <w:p>
            <w:pPr>
              <w:spacing w:before="40" w:after="40" w:line="276" w:lineRule="auto"/>
            </w:pPr>
            <w:r>
              <w:rPr>
                <w:rFonts w:ascii="Calibri" w:hAnsi="Calibri"/>
                <w:b/>
                <w:color w:val="000000"/>
                <w:sz w:val="16"/>
              </w:rPr>
              <w:t>Requirements and acceptance criteria</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11 Functional Requirements, 6 NFRs, and 20 synthetic acceptance scenarios with formal oracles</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Chapter 4, pp. 25–28</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Requirements Register (Table 4.1)</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Fatima Khursheed</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Yes</w:t>
            </w:r>
          </w:p>
        </w:tc>
      </w:tr>
      <w:tr>
        <w:tc>
          <w:tcPr>
            <w:tcW w:type="dxa" w:w="1704"/>
            <w:shd w:fill="F9FAFB"/>
            <w:tcMar>
              <w:top w:w="80" w:type="dxa"/>
              <w:bottom w:w="80" w:type="dxa"/>
              <w:left w:w="120" w:type="dxa"/>
              <w:right w:w="120" w:type="dxa"/>
            </w:tcMar>
          </w:tcPr>
          <w:p>
            <w:pPr>
              <w:spacing w:before="40" w:after="40" w:line="276" w:lineRule="auto"/>
            </w:pPr>
            <w:r>
              <w:rPr>
                <w:rFonts w:ascii="Calibri" w:hAnsi="Calibri"/>
                <w:b/>
                <w:color w:val="000000"/>
                <w:sz w:val="16"/>
              </w:rPr>
              <w:t>Architecture and component/interface design</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Clean Architecture 5-layer stack, component diagram, domain interfaces (IAssess), 8 formal ADRs</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Chapter 5, pp. 29–33</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Component &amp; Layer Diagrams (Figs. 5.1–5.3)</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Fatima Khursheed</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Yes</w:t>
            </w:r>
          </w:p>
        </w:tc>
      </w:tr>
      <w:tr>
        <w:tc>
          <w:tcPr>
            <w:tcW w:type="dxa" w:w="1704"/>
            <w:shd w:fill="FFFFFF"/>
            <w:tcMar>
              <w:top w:w="80" w:type="dxa"/>
              <w:bottom w:w="80" w:type="dxa"/>
              <w:left w:w="120" w:type="dxa"/>
              <w:right w:w="120" w:type="dxa"/>
            </w:tcMar>
          </w:tcPr>
          <w:p>
            <w:pPr>
              <w:spacing w:before="40" w:after="40" w:line="276" w:lineRule="auto"/>
            </w:pPr>
            <w:r>
              <w:rPr>
                <w:rFonts w:ascii="Calibri" w:hAnsi="Calibri"/>
                <w:b/>
                <w:color w:val="000000"/>
                <w:sz w:val="16"/>
              </w:rPr>
              <w:t>Data / process / behavior design</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ERD v2.3, append-only event schema, borrowing lifecycle state machine, DFD Level 0 context</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Chapter 5, pp. 33–37</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ERD (Fig. 5.5), State Machine (Fig. 5.6)</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Fatima Khursheed</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Yes</w:t>
            </w:r>
          </w:p>
        </w:tc>
      </w:tr>
      <w:tr>
        <w:tc>
          <w:tcPr>
            <w:tcW w:type="dxa" w:w="1704"/>
            <w:shd w:fill="F9FAFB"/>
            <w:tcMar>
              <w:top w:w="80" w:type="dxa"/>
              <w:bottom w:w="80" w:type="dxa"/>
              <w:left w:w="120" w:type="dxa"/>
              <w:right w:w="120" w:type="dxa"/>
            </w:tcMar>
          </w:tcPr>
          <w:p>
            <w:pPr>
              <w:spacing w:before="40" w:after="40" w:line="276" w:lineRule="auto"/>
            </w:pPr>
            <w:r>
              <w:rPr>
                <w:rFonts w:ascii="Calibri" w:hAnsi="Calibri"/>
                <w:b/>
                <w:color w:val="000000"/>
                <w:sz w:val="16"/>
              </w:rPr>
              <w:t>Implementation documentation of completed module</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Slices A &amp; B setup, domain aggregate code, Bayesian Beta estimation, k-hop graph search, Expo UI</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Chapter 6, pp. 38–43</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Code Snippets &amp; Wireframes (Figs. 6.1–6.2)</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All Group</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6"/>
              </w:rPr>
              <w:t>Yes</w:t>
            </w:r>
          </w:p>
        </w:tc>
      </w:tr>
      <w:tr>
        <w:tc>
          <w:tcPr>
            <w:tcW w:type="dxa" w:w="1704"/>
            <w:shd w:fill="FFFFFF"/>
            <w:tcMar>
              <w:top w:w="80" w:type="dxa"/>
              <w:bottom w:w="80" w:type="dxa"/>
              <w:left w:w="120" w:type="dxa"/>
              <w:right w:w="120" w:type="dxa"/>
            </w:tcMar>
          </w:tcPr>
          <w:p>
            <w:pPr>
              <w:spacing w:before="40" w:after="40" w:line="276" w:lineRule="auto"/>
            </w:pPr>
            <w:r>
              <w:rPr>
                <w:rFonts w:ascii="Calibri" w:hAnsi="Calibri"/>
                <w:b/>
                <w:color w:val="000000"/>
                <w:sz w:val="16"/>
              </w:rPr>
              <w:t>Testing/validation plan and tool/risk disclosure</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390+ test results, Hypothesis property tests, risk mitigation matrix, Form 13 dependency registry, AI log</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Chapters 7 &amp; 8, pp. 44–52</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Test Summary (Table 7.2), Risk Matrix</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All Group</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6"/>
              </w:rPr>
              <w:t>Yes</w:t>
            </w:r>
          </w:p>
        </w:tc>
      </w:tr>
    </w:tbl>
    <w:p>
      <w:pPr>
        <w:pStyle w:val="Heading2"/>
        <w:keepNext/>
        <w:spacing w:before="240" w:after="80"/>
      </w:pPr>
      <w:r>
        <w:rPr>
          <w:rFonts w:ascii="Calibri" w:hAnsi="Calibri"/>
          <w:b/>
          <w:color w:val="111827"/>
          <w:sz w:val="24"/>
        </w:rPr>
        <w:t>Problem formulation R and D and existing solutions</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592"/>
        <w:gridCol w:w="7488"/>
      </w:tblGrid>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Problem evidence</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Documented severe underutilization of residential assets (drills used &lt;13 mins across lifetime; lawnmowers idle 95% of time), accompanied by pervasive distrust, fear of damage/theft, and lack of accountability among neighbours.</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Existing solutions reviewed</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Reviewed 6 major systems: Olx/Facebook Marketplace (pure classifieds, zero trust/lifecycle), Peerby/Fat Llama (opaque star ratings, high commercial deposit barriers), Academic trust models (EigenTrust, TidalTrust—vulnerable to Sybil collusion and lacks privacy).</w:t>
            </w:r>
          </w:p>
        </w:tc>
      </w:tr>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Remaining gap</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No existing platform combines privacy-preserving coarse locality verification, append-only event sourcing for dispute auditability, and an objective Bayesian Beta assurance engine with bounded indirect trust propagation.</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Complex computing challenge</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Formulating a multi-parameter Bayesian inference engine combined with cycle-safe graph search (k &lt;= 3) that executes within 250ms while remaining mathematically robust against Sybil collusion, rating bursts, and cold-start biases.</w:t>
            </w:r>
          </w:p>
        </w:tc>
      </w:tr>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Investigative work completed</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Empirical derivation of Beta prior distributions, recency half-life sensitivity experiments (T_half = 180d), 20 synthetic scenario simulations, and PostgreSQL multi-threaded concurrency benchmarks.</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Claims not yet proven</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Long-term multi-month empirical user behavioral adaptation in live production deployment (scoped as the empirical evaluation phase of FYP-2).</w:t>
            </w:r>
          </w:p>
        </w:tc>
      </w:tr>
    </w:tbl>
    <w:p>
      <w:pPr>
        <w:pStyle w:val="Heading1"/>
        <w:keepNext/>
        <w:spacing w:before="240" w:after="80"/>
      </w:pPr>
      <w:r>
        <w:rPr>
          <w:rFonts w:ascii="Calibri" w:hAnsi="Calibri"/>
          <w:b/>
          <w:color w:val="1E3A8A"/>
          <w:sz w:val="28"/>
        </w:rPr>
        <w:t>10 Tool dependency risk and disclosure record</w:t>
      </w:r>
    </w:p>
    <w:p>
      <w:pPr>
        <w:pStyle w:val="Heading2"/>
        <w:keepNext/>
        <w:spacing w:before="240" w:after="80"/>
      </w:pPr>
      <w:r>
        <w:rPr>
          <w:rFonts w:ascii="Calibri" w:hAnsi="Calibri"/>
          <w:b/>
          <w:color w:val="111827"/>
          <w:sz w:val="24"/>
        </w:rPr>
        <w:t>Implementation documentation checklist</w:t>
      </w:r>
    </w:p>
    <w:tbl>
      <w:tblPr>
        <w:tblW w:type="auto" w:w="0"/>
        <w:tblLook w:firstColumn="1" w:firstRow="1" w:lastColumn="0" w:lastRow="0" w:noHBand="0" w:noVBand="1" w:val="04A0"/>
        <w:tblBorders>
          <w:top w:val="single" w:sz="4" w:space="0" w:color="E5E7EB"/>
          <w:bottom w:val="single" w:sz="4" w:space="0" w:color="E5E7EB"/>
          <w:insideH w:val="single" w:sz="4" w:space="0" w:color="E5E7EB"/>
          <w:insideV w:val="single" w:sz="4" w:space="0" w:color="E5E7EB"/>
          <w:left w:val="none"/>
          <w:right w:val="none"/>
        </w:tblBorders>
      </w:tblPr>
      <w:tblGrid>
        <w:gridCol w:w="10224"/>
      </w:tblGrid>
      <w:tr>
        <w:tc>
          <w:tcPr>
            <w:tcW w:type="dxa" w:w="10224"/>
            <w:shd w:fill="F9FAFB"/>
            <w:tcMar>
              <w:top w:w="80" w:type="dxa"/>
              <w:bottom w:w="80" w:type="dxa"/>
              <w:left w:w="120" w:type="dxa"/>
              <w:right w:w="120" w:type="dxa"/>
            </w:tcMar>
          </w:tcPr>
          <w:p>
            <w:pPr>
              <w:spacing w:before="40" w:after="40" w:line="276" w:lineRule="auto"/>
            </w:pPr>
            <w:r>
              <w:rPr>
                <w:rFonts w:ascii="Calibri" w:hAnsi="Calibri"/>
                <w:b w:val="0"/>
                <w:color w:val="000000"/>
                <w:sz w:val="17"/>
              </w:rPr>
              <w:t>☒ Clean setup and execution instructions documented in README.md and Report Chapter 6</w:t>
            </w:r>
          </w:p>
        </w:tc>
      </w:tr>
      <w:tr>
        <w:tc>
          <w:tcPr>
            <w:tcW w:type="dxa" w:w="10224"/>
            <w:shd w:fill="FFFFFF"/>
            <w:tcMar>
              <w:top w:w="80" w:type="dxa"/>
              <w:bottom w:w="80" w:type="dxa"/>
              <w:left w:w="120" w:type="dxa"/>
              <w:right w:w="120" w:type="dxa"/>
            </w:tcMar>
          </w:tcPr>
          <w:p>
            <w:pPr>
              <w:spacing w:before="40" w:after="40" w:line="276" w:lineRule="auto"/>
            </w:pPr>
            <w:r>
              <w:rPr>
                <w:rFonts w:ascii="Calibri" w:hAnsi="Calibri"/>
                <w:b w:val="0"/>
                <w:color w:val="000000"/>
                <w:sz w:val="17"/>
              </w:rPr>
              <w:t>☒ Dependencies and versions pinned explicitly in pyproject.toml and package.json</w:t>
            </w:r>
          </w:p>
        </w:tc>
      </w:tr>
      <w:tr>
        <w:tc>
          <w:tcPr>
            <w:tcW w:type="dxa" w:w="10224"/>
            <w:shd w:fill="F9FAFB"/>
            <w:tcMar>
              <w:top w:w="80" w:type="dxa"/>
              <w:bottom w:w="80" w:type="dxa"/>
              <w:left w:w="120" w:type="dxa"/>
              <w:right w:w="120" w:type="dxa"/>
            </w:tcMar>
          </w:tcPr>
          <w:p>
            <w:pPr>
              <w:spacing w:before="40" w:after="40" w:line="276" w:lineRule="auto"/>
            </w:pPr>
            <w:r>
              <w:rPr>
                <w:rFonts w:ascii="Calibri" w:hAnsi="Calibri"/>
                <w:b w:val="0"/>
                <w:color w:val="000000"/>
                <w:sz w:val="17"/>
              </w:rPr>
              <w:t>☒ Main files, classes, functions and domain modules catalogued with ownership</w:t>
            </w:r>
          </w:p>
        </w:tc>
      </w:tr>
      <w:tr>
        <w:tc>
          <w:tcPr>
            <w:tcW w:type="dxa" w:w="10224"/>
            <w:shd w:fill="FFFFFF"/>
            <w:tcMar>
              <w:top w:w="80" w:type="dxa"/>
              <w:bottom w:w="80" w:type="dxa"/>
              <w:left w:w="120" w:type="dxa"/>
              <w:right w:w="120" w:type="dxa"/>
            </w:tcMar>
          </w:tcPr>
          <w:p>
            <w:pPr>
              <w:spacing w:before="40" w:after="40" w:line="276" w:lineRule="auto"/>
            </w:pPr>
            <w:r>
              <w:rPr>
                <w:rFonts w:ascii="Calibri" w:hAnsi="Calibri"/>
                <w:b w:val="0"/>
                <w:color w:val="000000"/>
                <w:sz w:val="17"/>
              </w:rPr>
              <w:t>☒ Configuration and environment data requirements isolated in .env and engine.json</w:t>
            </w:r>
          </w:p>
        </w:tc>
      </w:tr>
      <w:tr>
        <w:tc>
          <w:tcPr>
            <w:tcW w:type="dxa" w:w="10224"/>
            <w:shd w:fill="F9FAFB"/>
            <w:tcMar>
              <w:top w:w="80" w:type="dxa"/>
              <w:bottom w:w="80" w:type="dxa"/>
              <w:left w:w="120" w:type="dxa"/>
              <w:right w:w="120" w:type="dxa"/>
            </w:tcMar>
          </w:tcPr>
          <w:p>
            <w:pPr>
              <w:spacing w:before="40" w:after="40" w:line="276" w:lineRule="auto"/>
            </w:pPr>
            <w:r>
              <w:rPr>
                <w:rFonts w:ascii="Calibri" w:hAnsi="Calibri"/>
                <w:b w:val="0"/>
                <w:color w:val="000000"/>
                <w:sz w:val="17"/>
              </w:rPr>
              <w:t>☒ Technical decisions and architectural trade-offs formalized in 8 ADRs</w:t>
            </w:r>
          </w:p>
        </w:tc>
      </w:tr>
      <w:tr>
        <w:tc>
          <w:tcPr>
            <w:tcW w:type="dxa" w:w="10224"/>
            <w:shd w:fill="FFFFFF"/>
            <w:tcMar>
              <w:top w:w="80" w:type="dxa"/>
              <w:bottom w:w="80" w:type="dxa"/>
              <w:left w:w="120" w:type="dxa"/>
              <w:right w:w="120" w:type="dxa"/>
            </w:tcMar>
          </w:tcPr>
          <w:p>
            <w:pPr>
              <w:spacing w:before="40" w:after="40" w:line="276" w:lineRule="auto"/>
            </w:pPr>
            <w:r>
              <w:rPr>
                <w:rFonts w:ascii="Calibri" w:hAnsi="Calibri"/>
                <w:b w:val="0"/>
                <w:color w:val="000000"/>
                <w:sz w:val="17"/>
              </w:rPr>
              <w:t>☒ Known limitations and failure behaviors honestly documented (Slice C in progress)</w:t>
            </w:r>
          </w:p>
        </w:tc>
      </w:tr>
      <w:tr>
        <w:tc>
          <w:tcPr>
            <w:tcW w:type="dxa" w:w="10224"/>
            <w:shd w:fill="F9FAFB"/>
            <w:tcMar>
              <w:top w:w="80" w:type="dxa"/>
              <w:bottom w:w="80" w:type="dxa"/>
              <w:left w:w="120" w:type="dxa"/>
              <w:right w:w="120" w:type="dxa"/>
            </w:tcMar>
          </w:tcPr>
          <w:p>
            <w:pPr>
              <w:spacing w:before="40" w:after="40" w:line="276" w:lineRule="auto"/>
            </w:pPr>
            <w:r>
              <w:rPr>
                <w:rFonts w:ascii="Calibri" w:hAnsi="Calibri"/>
                <w:b w:val="0"/>
                <w:color w:val="000000"/>
                <w:sz w:val="17"/>
              </w:rPr>
              <w:t>☒ Link to stable evaluation commit tag: 093a16f2a7966a713b0de4181d67d22a8ce675ea</w:t>
            </w:r>
          </w:p>
        </w:tc>
      </w:tr>
      <w:tr>
        <w:tc>
          <w:tcPr>
            <w:tcW w:type="dxa" w:w="10224"/>
            <w:shd w:fill="FFFFFF"/>
            <w:tcMar>
              <w:top w:w="80" w:type="dxa"/>
              <w:bottom w:w="80" w:type="dxa"/>
              <w:left w:w="120" w:type="dxa"/>
              <w:right w:w="120" w:type="dxa"/>
            </w:tcMar>
          </w:tcPr>
          <w:p>
            <w:pPr>
              <w:spacing w:before="40" w:after="40" w:line="276" w:lineRule="auto"/>
            </w:pPr>
            <w:r>
              <w:rPr>
                <w:rFonts w:ascii="Calibri" w:hAnsi="Calibri"/>
                <w:b w:val="0"/>
                <w:color w:val="000000"/>
                <w:sz w:val="17"/>
              </w:rPr>
              <w:t>☒ Steps allow another person to independently reproduce the completed module</w:t>
            </w:r>
          </w:p>
        </w:tc>
      </w:tr>
    </w:tbl>
    <w:p>
      <w:pPr>
        <w:pStyle w:val="Heading2"/>
        <w:keepNext/>
        <w:spacing w:before="240" w:after="80"/>
      </w:pPr>
      <w:r>
        <w:rPr>
          <w:rFonts w:ascii="Calibri" w:hAnsi="Calibri"/>
          <w:b/>
          <w:color w:val="111827"/>
          <w:sz w:val="24"/>
        </w:rPr>
        <w:t>Tool, library and service disclosure register</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1872"/>
        <w:gridCol w:w="1728"/>
        <w:gridCol w:w="1584"/>
        <w:gridCol w:w="1728"/>
        <w:gridCol w:w="2016"/>
        <w:gridCol w:w="1152"/>
      </w:tblGrid>
      <w:tr>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5"/>
              </w:rPr>
              <w:t>Tool / model / service / library</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5"/>
              </w:rPr>
              <w:t>Purpose</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5"/>
              </w:rPr>
              <w:t>Output used</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5"/>
              </w:rPr>
              <w:t>Validation performed</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5"/>
              </w:rPr>
              <w:t>Risk or limitation</w:t>
            </w:r>
          </w:p>
        </w:tc>
        <w:tc>
          <w:tcPr>
            <w:tcW w:type="dxa" w:w="1704"/>
            <w:shd w:fill="1E3A8A"/>
            <w:tcMar>
              <w:top w:w="80" w:type="dxa"/>
              <w:bottom w:w="80" w:type="dxa"/>
              <w:left w:w="120" w:type="dxa"/>
              <w:right w:w="120" w:type="dxa"/>
            </w:tcMar>
          </w:tcPr>
          <w:p>
            <w:pPr>
              <w:spacing w:before="40" w:after="40" w:line="276" w:lineRule="auto"/>
            </w:pPr>
            <w:r>
              <w:rPr>
                <w:rFonts w:ascii="Calibri" w:hAnsi="Calibri"/>
                <w:b/>
                <w:color w:val="FFFFFF"/>
                <w:sz w:val="15"/>
              </w:rPr>
              <w:t>Owner</w:t>
            </w:r>
          </w:p>
        </w:tc>
      </w:tr>
      <w:tr>
        <w:tc>
          <w:tcPr>
            <w:tcW w:type="dxa" w:w="1704"/>
            <w:shd w:fill="F9FAFB"/>
            <w:tcMar>
              <w:top w:w="80" w:type="dxa"/>
              <w:bottom w:w="80" w:type="dxa"/>
              <w:left w:w="120" w:type="dxa"/>
              <w:right w:w="120" w:type="dxa"/>
            </w:tcMar>
          </w:tcPr>
          <w:p>
            <w:pPr>
              <w:spacing w:before="40" w:after="40" w:line="276" w:lineRule="auto"/>
            </w:pPr>
            <w:r>
              <w:rPr>
                <w:rFonts w:ascii="Calibri" w:hAnsi="Calibri"/>
                <w:b/>
                <w:color w:val="000000"/>
                <w:sz w:val="15"/>
              </w:rPr>
              <w:t>FastAPI 0.115+</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5"/>
              </w:rPr>
              <w:t>Asynchronous REST API framework</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5"/>
              </w:rPr>
              <w:t>Application code</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5"/>
              </w:rPr>
              <w:t>Automated pytest suite; OpenAPI contract tests</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5"/>
              </w:rPr>
              <w:t>FastAPI updates; pinned in pyproject.toml</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5"/>
              </w:rPr>
              <w:t>Fatima</w:t>
            </w:r>
          </w:p>
        </w:tc>
      </w:tr>
      <w:tr>
        <w:tc>
          <w:tcPr>
            <w:tcW w:type="dxa" w:w="1704"/>
            <w:shd w:fill="FFFFFF"/>
            <w:tcMar>
              <w:top w:w="80" w:type="dxa"/>
              <w:bottom w:w="80" w:type="dxa"/>
              <w:left w:w="120" w:type="dxa"/>
              <w:right w:w="120" w:type="dxa"/>
            </w:tcMar>
          </w:tcPr>
          <w:p>
            <w:pPr>
              <w:spacing w:before="40" w:after="40" w:line="276" w:lineRule="auto"/>
            </w:pPr>
            <w:r>
              <w:rPr>
                <w:rFonts w:ascii="Calibri" w:hAnsi="Calibri"/>
                <w:b/>
                <w:color w:val="000000"/>
                <w:sz w:val="15"/>
              </w:rPr>
              <w:t>PostgreSQL 16</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5"/>
              </w:rPr>
              <w:t>Relational persistence &amp; exclusion</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5"/>
              </w:rPr>
              <w:t>Schema &amp; storage</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5"/>
              </w:rPr>
              <w:t>Integration tests for btree_gist exclusion</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5"/>
              </w:rPr>
              <w:t>Database availability; backed up on Neon cloud</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5"/>
              </w:rPr>
              <w:t>Fatima</w:t>
            </w:r>
          </w:p>
        </w:tc>
      </w:tr>
      <w:tr>
        <w:tc>
          <w:tcPr>
            <w:tcW w:type="dxa" w:w="1704"/>
            <w:shd w:fill="F9FAFB"/>
            <w:tcMar>
              <w:top w:w="80" w:type="dxa"/>
              <w:bottom w:w="80" w:type="dxa"/>
              <w:left w:w="120" w:type="dxa"/>
              <w:right w:w="120" w:type="dxa"/>
            </w:tcMar>
          </w:tcPr>
          <w:p>
            <w:pPr>
              <w:spacing w:before="40" w:after="40" w:line="276" w:lineRule="auto"/>
            </w:pPr>
            <w:r>
              <w:rPr>
                <w:rFonts w:ascii="Calibri" w:hAnsi="Calibri"/>
                <w:b/>
                <w:color w:val="000000"/>
                <w:sz w:val="15"/>
              </w:rPr>
              <w:t>SQLAlchemy 2 / Alembic</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5"/>
              </w:rPr>
              <w:t>Synchronous ORM &amp; migrations</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5"/>
              </w:rPr>
              <w:t>Persistence code</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5"/>
              </w:rPr>
              <w:t>Automated migration rollback tests</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5"/>
              </w:rPr>
              <w:t>Migration drift; guarded by Alembic revision checks</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5"/>
              </w:rPr>
              <w:t>Fatima</w:t>
            </w:r>
          </w:p>
        </w:tc>
      </w:tr>
      <w:tr>
        <w:tc>
          <w:tcPr>
            <w:tcW w:type="dxa" w:w="1704"/>
            <w:shd w:fill="FFFFFF"/>
            <w:tcMar>
              <w:top w:w="80" w:type="dxa"/>
              <w:bottom w:w="80" w:type="dxa"/>
              <w:left w:w="120" w:type="dxa"/>
              <w:right w:w="120" w:type="dxa"/>
            </w:tcMar>
          </w:tcPr>
          <w:p>
            <w:pPr>
              <w:spacing w:before="40" w:after="40" w:line="276" w:lineRule="auto"/>
            </w:pPr>
            <w:r>
              <w:rPr>
                <w:rFonts w:ascii="Calibri" w:hAnsi="Calibri"/>
                <w:b/>
                <w:color w:val="000000"/>
                <w:sz w:val="15"/>
              </w:rPr>
              <w:t>React Native (Expo SDK 52)</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5"/>
              </w:rPr>
              <w:t>Presentation client (Web/Mobile)</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5"/>
              </w:rPr>
              <w:t>Frontend UI</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5"/>
              </w:rPr>
              <w:t>Jest component tests; TypeScript strict mode</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5"/>
              </w:rPr>
              <w:t>Expo SDK updates; pinned in package.json</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5"/>
              </w:rPr>
              <w:t>Minahil</w:t>
            </w:r>
          </w:p>
        </w:tc>
      </w:tr>
      <w:tr>
        <w:tc>
          <w:tcPr>
            <w:tcW w:type="dxa" w:w="1704"/>
            <w:shd w:fill="F9FAFB"/>
            <w:tcMar>
              <w:top w:w="80" w:type="dxa"/>
              <w:bottom w:w="80" w:type="dxa"/>
              <w:left w:w="120" w:type="dxa"/>
              <w:right w:w="120" w:type="dxa"/>
            </w:tcMar>
          </w:tcPr>
          <w:p>
            <w:pPr>
              <w:spacing w:before="40" w:after="40" w:line="276" w:lineRule="auto"/>
            </w:pPr>
            <w:r>
              <w:rPr>
                <w:rFonts w:ascii="Calibri" w:hAnsi="Calibri"/>
                <w:b/>
                <w:color w:val="000000"/>
                <w:sz w:val="15"/>
              </w:rPr>
              <w:t>argon2-cffi / PyJWT</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5"/>
              </w:rPr>
              <w:t>Password hashing &amp; JWT auth</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5"/>
              </w:rPr>
              <w:t>Security layer</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5"/>
              </w:rPr>
              <w:t>Security unit tests; timing attack resistance</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5"/>
              </w:rPr>
              <w:t>Cryptographic key compromise; JWT secrets in .env</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5"/>
              </w:rPr>
              <w:t>Fatima</w:t>
            </w:r>
          </w:p>
        </w:tc>
      </w:tr>
      <w:tr>
        <w:tc>
          <w:tcPr>
            <w:tcW w:type="dxa" w:w="1704"/>
            <w:shd w:fill="FFFFFF"/>
            <w:tcMar>
              <w:top w:w="80" w:type="dxa"/>
              <w:bottom w:w="80" w:type="dxa"/>
              <w:left w:w="120" w:type="dxa"/>
              <w:right w:w="120" w:type="dxa"/>
            </w:tcMar>
          </w:tcPr>
          <w:p>
            <w:pPr>
              <w:spacing w:before="40" w:after="40" w:line="276" w:lineRule="auto"/>
            </w:pPr>
            <w:r>
              <w:rPr>
                <w:rFonts w:ascii="Calibri" w:hAnsi="Calibri"/>
                <w:b/>
                <w:color w:val="000000"/>
                <w:sz w:val="15"/>
              </w:rPr>
              <w:t>NumPy / SciPy</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5"/>
              </w:rPr>
              <w:t>Beta distributions &amp; CDF intervals</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5"/>
              </w:rPr>
              <w:t>Math routines</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5"/>
              </w:rPr>
              <w:t>Analytical oracle cross-check (TC-20)</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5"/>
              </w:rPr>
              <w:t>Floating point precision; verified by Hypothesis</w:t>
            </w:r>
          </w:p>
        </w:tc>
        <w:tc>
          <w:tcPr>
            <w:tcW w:type="dxa" w:w="1704"/>
            <w:shd w:fill="FFFFFF"/>
            <w:tcMar>
              <w:top w:w="80" w:type="dxa"/>
              <w:bottom w:w="80" w:type="dxa"/>
              <w:left w:w="120" w:type="dxa"/>
              <w:right w:w="120" w:type="dxa"/>
            </w:tcMar>
          </w:tcPr>
          <w:p>
            <w:pPr>
              <w:spacing w:before="40" w:after="40" w:line="276" w:lineRule="auto"/>
            </w:pPr>
            <w:r>
              <w:rPr>
                <w:rFonts w:ascii="Calibri" w:hAnsi="Calibri"/>
                <w:b w:val="0"/>
                <w:color w:val="000000"/>
                <w:sz w:val="15"/>
              </w:rPr>
              <w:t>Areeba</w:t>
            </w:r>
          </w:p>
        </w:tc>
      </w:tr>
      <w:tr>
        <w:tc>
          <w:tcPr>
            <w:tcW w:type="dxa" w:w="1704"/>
            <w:shd w:fill="F9FAFB"/>
            <w:tcMar>
              <w:top w:w="80" w:type="dxa"/>
              <w:bottom w:w="80" w:type="dxa"/>
              <w:left w:w="120" w:type="dxa"/>
              <w:right w:w="120" w:type="dxa"/>
            </w:tcMar>
          </w:tcPr>
          <w:p>
            <w:pPr>
              <w:spacing w:before="40" w:after="40" w:line="276" w:lineRule="auto"/>
            </w:pPr>
            <w:r>
              <w:rPr>
                <w:rFonts w:ascii="Calibri" w:hAnsi="Calibri"/>
                <w:b/>
                <w:color w:val="000000"/>
                <w:sz w:val="15"/>
              </w:rPr>
              <w:t>Claude Code / Copilot LLMs</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5"/>
              </w:rPr>
              <w:t>Assistive programming pair</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5"/>
              </w:rPr>
              <w:t>Boilerplate code &amp; docs</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5"/>
              </w:rPr>
              <w:t>100% human code review, syntax tests, defense</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5"/>
              </w:rPr>
              <w:t>AI hallucination; strict verification log maintained</w:t>
            </w:r>
          </w:p>
        </w:tc>
        <w:tc>
          <w:tcPr>
            <w:tcW w:type="dxa" w:w="1704"/>
            <w:shd w:fill="F9FAFB"/>
            <w:tcMar>
              <w:top w:w="80" w:type="dxa"/>
              <w:bottom w:w="80" w:type="dxa"/>
              <w:left w:w="120" w:type="dxa"/>
              <w:right w:w="120" w:type="dxa"/>
            </w:tcMar>
          </w:tcPr>
          <w:p>
            <w:pPr>
              <w:spacing w:before="40" w:after="40" w:line="276" w:lineRule="auto"/>
            </w:pPr>
            <w:r>
              <w:rPr>
                <w:rFonts w:ascii="Calibri" w:hAnsi="Calibri"/>
                <w:b w:val="0"/>
                <w:color w:val="000000"/>
                <w:sz w:val="15"/>
              </w:rPr>
              <w:t>All Group</w:t>
            </w:r>
          </w:p>
        </w:tc>
      </w:tr>
    </w:tbl>
    <w:p>
      <w:pPr>
        <w:pStyle w:val="Heading2"/>
        <w:keepNext/>
        <w:spacing w:before="240" w:after="80"/>
      </w:pPr>
      <w:r>
        <w:rPr>
          <w:rFonts w:ascii="Calibri" w:hAnsi="Calibri"/>
          <w:b/>
          <w:color w:val="111827"/>
          <w:sz w:val="24"/>
        </w:rPr>
        <w:t>Risk analysis and compliance protocols</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592"/>
        <w:gridCol w:w="7488"/>
      </w:tblGrid>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Sensitive data handling</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State none: The system enforces a zero-GPS architectural rule (NFR-PRIV-01). Exact street addresses and latitude/longitude coordinates are never queried, transmitted, or persisted. Only coarse neighbourhood membership tokens are stored. Password credentials are cryptographically protected via argon2id with high memory cost.</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Security controls</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Stateless JWT bearer tokens with 60-minute expiration bounds; role-based authorization ensuring borrowers cannot accept requests and non-owners cannot mutate listings; environment secrets managed via .env; automated Ruff and Bandit security scans in CI.</w:t>
            </w:r>
          </w:p>
        </w:tc>
      </w:tr>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Licensing and attribution</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All dependencies vetted for permissive open-source licenses (MIT, Apache 2.0, BSD, PostgreSQL licence). No copyleft GPL code is incorporated into application runtime. All external research cited in IEEE format.</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External availability risk</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If cloud services (Render/Neon) experience outages, the entire application stack is 100% locally reproducible using the included Dockerfile and docker compose up script with zero external cloud dependencies.</w:t>
            </w:r>
          </w:p>
        </w:tc>
      </w:tr>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Responsible LLM use</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Generative AI was used strictly as an assistive programming pair for initial boilerplate and document formatting. Every line of code was inspected, tested, and verified by group members. All assistance is logged in docs/ai-usage-log.md. Fabricating citations or test results is strictly prohibited.</w:t>
            </w:r>
          </w:p>
        </w:tc>
      </w:tr>
    </w:tbl>
    <w:p>
      <w:pPr>
        <w:pStyle w:val="Heading1"/>
        <w:keepNext/>
        <w:spacing w:before="240" w:after="80"/>
      </w:pPr>
      <w:r>
        <w:rPr>
          <w:rFonts w:ascii="Calibri" w:hAnsi="Calibri"/>
          <w:b/>
          <w:color w:val="1E3A8A"/>
          <w:sz w:val="28"/>
        </w:rPr>
        <w:t>11 Individual evidence Member 1</w:t>
      </w:r>
    </w:p>
    <w:p>
      <w:r>
        <w:rPr>
          <w:i/>
          <w:sz w:val="18"/>
        </w:rPr>
        <w:t>Complete this section individually. The supervisor may ask the member to locate, explain, test or modify any claimed contribution during the meeting.</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592"/>
        <w:gridCol w:w="7488"/>
      </w:tblGrid>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Name and registration number</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Fatima Khursheed | 23i-0746</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Repository identity</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ftmkhursheed2 (Fatima Khursheed)</w:t>
            </w:r>
          </w:p>
        </w:tc>
      </w:tr>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Primary technical ownership</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Student 1 (S1): Borrowing Lifecycle Domain Aggregate, Append-Only Event Store, PostgreSQL 16 Relational Schema, Bounded k-Hop Indirect Trust Traversal, and GitHub Actions CI Pipeline.</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Most substantial contribution</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Engineered the event-sourced borrowing aggregate (BorrowingTransaction) and the append-only event store (PostgresEventStore) with cryptographic SHA-256 hash chaining, guaranteeing immutable audit trails and enforcing zero concurrent double-booking via PostgreSQL 16 btree_gist exclusion constraints.</w:t>
            </w:r>
          </w:p>
        </w:tc>
      </w:tr>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Problem personally resolved</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Diagnosed and resolved the concurrent double-booking race condition where overlapping requests on the same item could both transition to ACCEPTED. Implemented the PostgreSQL btree_gist temporal exclusion constraint (ADR-0003), preventing overlapping reservations directly at the database persistence boundary.</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Tool-assisted work</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Utilized GitHub Copilot for initial SQL trigger boilerplate and repetitive test fixtures. Independently derived the state transition matrix (14 valid / 280 invalid states) and authored the event replay verification logic.</w:t>
            </w:r>
          </w:p>
        </w:tc>
      </w:tr>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Next committed work</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Finalize the human moderation audit packaging loop and attach clean-runner automated CI execution logs before Thursday's evaluation.</w:t>
            </w:r>
          </w:p>
        </w:tc>
      </w:tr>
    </w:tbl>
    <w:p>
      <w:pPr>
        <w:pStyle w:val="Heading2"/>
        <w:keepNext/>
        <w:spacing w:before="240" w:after="80"/>
      </w:pPr>
      <w:r>
        <w:rPr>
          <w:rFonts w:ascii="Calibri" w:hAnsi="Calibri"/>
          <w:b/>
          <w:color w:val="111827"/>
          <w:sz w:val="24"/>
        </w:rPr>
        <w:t>Member 1 contribution items</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592"/>
        <w:gridCol w:w="2160"/>
        <w:gridCol w:w="1296"/>
        <w:gridCol w:w="2160"/>
        <w:gridCol w:w="1872"/>
      </w:tblGrid>
      <w:tr>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Contribution</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Repository or artefact</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Commit PR or version</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Test or result</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Role</w:t>
            </w:r>
          </w:p>
        </w:tc>
      </w:tr>
      <w:tr>
        <w:tc>
          <w:tcPr>
            <w:tcW w:type="dxa" w:w="2045"/>
            <w:shd w:fill="F9FAFB"/>
            <w:tcMar>
              <w:top w:w="80" w:type="dxa"/>
              <w:bottom w:w="80" w:type="dxa"/>
              <w:left w:w="120" w:type="dxa"/>
              <w:right w:w="120" w:type="dxa"/>
            </w:tcMar>
          </w:tcPr>
          <w:p>
            <w:pPr>
              <w:spacing w:before="40" w:after="40" w:line="276" w:lineRule="auto"/>
            </w:pPr>
            <w:r>
              <w:rPr>
                <w:rFonts w:ascii="Calibri" w:hAnsi="Calibri"/>
                <w:b/>
                <w:color w:val="000000"/>
                <w:sz w:val="16"/>
              </w:rPr>
              <w:t>Borrowing Lifecycle Aggregate &amp; FSM</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backend/app/domain/borrowing/aggregate.py</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PR #20</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TC-01, TC-02: 308 unit tests pass</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Designed, implemented, tested</w:t>
            </w:r>
          </w:p>
        </w:tc>
      </w:tr>
      <w:tr>
        <w:tc>
          <w:tcPr>
            <w:tcW w:type="dxa" w:w="2045"/>
            <w:shd w:fill="FFFFFF"/>
            <w:tcMar>
              <w:top w:w="80" w:type="dxa"/>
              <w:bottom w:w="80" w:type="dxa"/>
              <w:left w:w="120" w:type="dxa"/>
              <w:right w:w="120" w:type="dxa"/>
            </w:tcMar>
          </w:tcPr>
          <w:p>
            <w:pPr>
              <w:spacing w:before="40" w:after="40" w:line="276" w:lineRule="auto"/>
            </w:pPr>
            <w:r>
              <w:rPr>
                <w:rFonts w:ascii="Calibri" w:hAnsi="Calibri"/>
                <w:b/>
                <w:color w:val="000000"/>
                <w:sz w:val="16"/>
              </w:rPr>
              <w:t>PostgresEventStore &amp; Hash Chaining</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backend/app/infra/eventstore/postgres.py</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PR #20</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TC-05: 15 event store tests pass</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Designed, implemented, tested</w:t>
            </w:r>
          </w:p>
        </w:tc>
      </w:tr>
      <w:tr>
        <w:tc>
          <w:tcPr>
            <w:tcW w:type="dxa" w:w="2045"/>
            <w:shd w:fill="F9FAFB"/>
            <w:tcMar>
              <w:top w:w="80" w:type="dxa"/>
              <w:bottom w:w="80" w:type="dxa"/>
              <w:left w:w="120" w:type="dxa"/>
              <w:right w:w="120" w:type="dxa"/>
            </w:tcMar>
          </w:tcPr>
          <w:p>
            <w:pPr>
              <w:spacing w:before="40" w:after="40" w:line="276" w:lineRule="auto"/>
            </w:pPr>
            <w:r>
              <w:rPr>
                <w:rFonts w:ascii="Calibri" w:hAnsi="Calibri"/>
                <w:b/>
                <w:color w:val="000000"/>
                <w:sz w:val="16"/>
              </w:rPr>
              <w:t>PostgreSQL Schema &amp; Exclusion Constraints</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backend/alembic/versions/0001_schema_v2_3.py</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PR #22</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TC-08: 5-thread concurrency test pass</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Designed, implemented, tested</w:t>
            </w:r>
          </w:p>
        </w:tc>
      </w:tr>
      <w:tr>
        <w:tc>
          <w:tcPr>
            <w:tcW w:type="dxa" w:w="2045"/>
            <w:shd w:fill="FFFFFF"/>
            <w:tcMar>
              <w:top w:w="80" w:type="dxa"/>
              <w:bottom w:w="80" w:type="dxa"/>
              <w:left w:w="120" w:type="dxa"/>
              <w:right w:w="120" w:type="dxa"/>
            </w:tcMar>
          </w:tcPr>
          <w:p>
            <w:pPr>
              <w:spacing w:before="40" w:after="40" w:line="276" w:lineRule="auto"/>
            </w:pPr>
            <w:r>
              <w:rPr>
                <w:rFonts w:ascii="Calibri" w:hAnsi="Calibri"/>
                <w:b/>
                <w:color w:val="000000"/>
                <w:sz w:val="16"/>
              </w:rPr>
              <w:t>Bounded k-Hop Graph Traversal Algorithm</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backend/app/domain/assurance/indirect/khop.py</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PR #25</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TC-25: 16 graph traversal tests pass</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Implemented, tested, integrated</w:t>
            </w:r>
          </w:p>
        </w:tc>
      </w:tr>
      <w:tr>
        <w:tc>
          <w:tcPr>
            <w:tcW w:type="dxa" w:w="2045"/>
            <w:shd w:fill="F9FAFB"/>
            <w:tcMar>
              <w:top w:w="80" w:type="dxa"/>
              <w:bottom w:w="80" w:type="dxa"/>
              <w:left w:w="120" w:type="dxa"/>
              <w:right w:w="120" w:type="dxa"/>
            </w:tcMar>
          </w:tcPr>
          <w:p>
            <w:pPr>
              <w:spacing w:before="40" w:after="40" w:line="276" w:lineRule="auto"/>
            </w:pPr>
            <w:r>
              <w:rPr>
                <w:rFonts w:ascii="Calibri" w:hAnsi="Calibri"/>
                <w:b/>
                <w:color w:val="000000"/>
                <w:sz w:val="16"/>
              </w:rPr>
              <w:t>Continuous Integration (CI) Pipeline</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.github/workflows/ci.yml</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Commit 093a16f</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Automated GitHub Actions lint/test gate</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Designed, implemented, maintained</w:t>
            </w:r>
          </w:p>
        </w:tc>
      </w:tr>
    </w:tbl>
    <w:p>
      <w:pPr>
        <w:pStyle w:val="Heading2"/>
        <w:keepNext/>
        <w:spacing w:before="240" w:after="80"/>
      </w:pPr>
      <w:r>
        <w:rPr>
          <w:rFonts w:ascii="Calibri" w:hAnsi="Calibri"/>
          <w:b/>
          <w:color w:val="111827"/>
          <w:sz w:val="24"/>
        </w:rPr>
        <w:t>Member 1 declaration</w:t>
      </w:r>
    </w:p>
    <w:tbl>
      <w:tblPr>
        <w:tblW w:type="auto" w:w="0"/>
        <w:tblLook w:firstColumn="1" w:firstRow="1" w:lastColumn="0" w:lastRow="0" w:noHBand="0" w:noVBand="1" w:val="04A0"/>
        <w:tblBorders>
          <w:top w:val="single" w:sz="4" w:space="0" w:color="E5E7EB"/>
          <w:bottom w:val="single" w:sz="4" w:space="0" w:color="E5E7EB"/>
          <w:insideH w:val="single" w:sz="4" w:space="0" w:color="E5E7EB"/>
          <w:insideV w:val="single" w:sz="4" w:space="0" w:color="E5E7EB"/>
          <w:left w:val="none"/>
          <w:right w:val="none"/>
        </w:tblBorders>
      </w:tblPr>
      <w:tblGrid>
        <w:gridCol w:w="10224"/>
      </w:tblGrid>
      <w:tr>
        <w:tc>
          <w:tcPr>
            <w:tcW w:type="dxa" w:w="10224"/>
            <w:shd w:fill="FFFFFF"/>
            <w:tcMar>
              <w:top w:w="80" w:type="dxa"/>
              <w:bottom w:w="80" w:type="dxa"/>
              <w:left w:w="120" w:type="dxa"/>
              <w:right w:w="120" w:type="dxa"/>
            </w:tcMar>
          </w:tcPr>
          <w:p>
            <w:pPr>
              <w:spacing w:before="40" w:after="40" w:line="276" w:lineRule="auto"/>
            </w:pPr>
            <w:r>
              <w:rPr>
                <w:rFonts w:ascii="Calibri" w:hAnsi="Calibri"/>
                <w:b w:val="0"/>
                <w:color w:val="000000"/>
                <w:sz w:val="17"/>
              </w:rPr>
              <w:t>☒ I can explain the architecture and data flow relevant to my work.</w:t>
            </w:r>
          </w:p>
        </w:tc>
      </w:tr>
      <w:tr>
        <w:tc>
          <w:tcPr>
            <w:tcW w:type="dxa" w:w="10224"/>
            <w:shd w:fill="FFFFFF"/>
            <w:tcMar>
              <w:top w:w="80" w:type="dxa"/>
              <w:bottom w:w="80" w:type="dxa"/>
              <w:left w:w="120" w:type="dxa"/>
              <w:right w:w="120" w:type="dxa"/>
            </w:tcMar>
          </w:tcPr>
          <w:p>
            <w:pPr>
              <w:spacing w:before="40" w:after="40" w:line="276" w:lineRule="auto"/>
            </w:pPr>
            <w:r>
              <w:rPr>
                <w:rFonts w:ascii="Calibri" w:hAnsi="Calibri"/>
                <w:b w:val="0"/>
                <w:color w:val="000000"/>
                <w:sz w:val="17"/>
              </w:rPr>
              <w:t>☒ I can locate and explain my implementation and tests.</w:t>
            </w:r>
          </w:p>
        </w:tc>
      </w:tr>
      <w:tr>
        <w:tc>
          <w:tcPr>
            <w:tcW w:type="dxa" w:w="10224"/>
            <w:shd w:fill="FFFFFF"/>
            <w:tcMar>
              <w:top w:w="80" w:type="dxa"/>
              <w:bottom w:w="80" w:type="dxa"/>
              <w:left w:w="120" w:type="dxa"/>
              <w:right w:w="120" w:type="dxa"/>
            </w:tcMar>
          </w:tcPr>
          <w:p>
            <w:pPr>
              <w:spacing w:before="40" w:after="40" w:line="276" w:lineRule="auto"/>
            </w:pPr>
            <w:r>
              <w:rPr>
                <w:rFonts w:ascii="Calibri" w:hAnsi="Calibri"/>
                <w:b w:val="0"/>
                <w:color w:val="000000"/>
                <w:sz w:val="17"/>
              </w:rPr>
              <w:t>☒ I can explain a design decision and its alternatives.</w:t>
            </w:r>
          </w:p>
        </w:tc>
      </w:tr>
      <w:tr>
        <w:tc>
          <w:tcPr>
            <w:tcW w:type="dxa" w:w="10224"/>
            <w:shd w:fill="FFFFFF"/>
            <w:tcMar>
              <w:top w:w="80" w:type="dxa"/>
              <w:bottom w:w="80" w:type="dxa"/>
              <w:left w:w="120" w:type="dxa"/>
              <w:right w:w="120" w:type="dxa"/>
            </w:tcMar>
          </w:tcPr>
          <w:p>
            <w:pPr>
              <w:spacing w:before="40" w:after="40" w:line="276" w:lineRule="auto"/>
            </w:pPr>
            <w:r>
              <w:rPr>
                <w:rFonts w:ascii="Calibri" w:hAnsi="Calibri"/>
                <w:b w:val="0"/>
                <w:color w:val="000000"/>
                <w:sz w:val="17"/>
              </w:rPr>
              <w:t>☒ I have disclosed material LLM and external tool assistance.</w:t>
            </w:r>
          </w:p>
        </w:tc>
      </w:tr>
      <w:tr>
        <w:tc>
          <w:tcPr>
            <w:tcW w:type="dxa" w:w="10224"/>
            <w:shd w:fill="FFFFFF"/>
            <w:tcMar>
              <w:top w:w="80" w:type="dxa"/>
              <w:bottom w:w="80" w:type="dxa"/>
              <w:left w:w="120" w:type="dxa"/>
              <w:right w:w="120" w:type="dxa"/>
            </w:tcMar>
          </w:tcPr>
          <w:p>
            <w:pPr>
              <w:spacing w:before="40" w:after="40" w:line="276" w:lineRule="auto"/>
            </w:pPr>
            <w:r>
              <w:rPr>
                <w:rFonts w:ascii="Calibri" w:hAnsi="Calibri"/>
                <w:b w:val="0"/>
                <w:color w:val="000000"/>
                <w:sz w:val="17"/>
              </w:rPr>
              <w:t>☒ The evidence above accurately represents my contribution.</w:t>
            </w:r>
          </w:p>
        </w:tc>
      </w:tr>
      <w:tr>
        <w:tc>
          <w:tcPr>
            <w:tcW w:type="dxa" w:w="10224"/>
            <w:shd w:fill="F3F4F6"/>
            <w:tcMar>
              <w:top w:w="80" w:type="dxa"/>
              <w:bottom w:w="80" w:type="dxa"/>
              <w:left w:w="120" w:type="dxa"/>
              <w:right w:w="120" w:type="dxa"/>
            </w:tcMar>
          </w:tcPr>
          <w:p>
            <w:pPr>
              <w:spacing w:before="40" w:after="40" w:line="276" w:lineRule="auto"/>
            </w:pPr>
            <w:r>
              <w:rPr>
                <w:rFonts w:ascii="Calibri" w:hAnsi="Calibri"/>
                <w:b/>
                <w:color w:val="000000"/>
                <w:sz w:val="17"/>
              </w:rPr>
              <w:t>Member confirmation: Fatima Khursheed (signed) | Date: October 13, 2026</w:t>
            </w:r>
          </w:p>
        </w:tc>
      </w:tr>
    </w:tbl>
    <w:p>
      <w:pPr>
        <w:pStyle w:val="Heading1"/>
        <w:keepNext/>
        <w:spacing w:before="240" w:after="80"/>
      </w:pPr>
      <w:r>
        <w:rPr>
          <w:rFonts w:ascii="Calibri" w:hAnsi="Calibri"/>
          <w:b/>
          <w:color w:val="1E3A8A"/>
          <w:sz w:val="28"/>
        </w:rPr>
        <w:t>11 Individual evidence Member 2</w:t>
      </w:r>
    </w:p>
    <w:p>
      <w:r>
        <w:rPr>
          <w:i/>
          <w:sz w:val="18"/>
        </w:rPr>
        <w:t>Complete this section individually. The supervisor may ask the member to locate, explain, test or modify any claimed contribution during the meeting.</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592"/>
        <w:gridCol w:w="7488"/>
      </w:tblGrid>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Name and registration number</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Areeba Javed | 23i-0570</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Repository identity</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Areeba444 (Areeba Javed)</w:t>
            </w:r>
          </w:p>
        </w:tc>
      </w:tr>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Primary technical ownership</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Student 2 (S2): Bayesian Trust &amp; Risk Assurance Engine (IAssess), Recency-Weighted Beta Posterior Estimator, Contextual Similarity Weighting, Decision Policy Rules R1–R9, and Adversarial Manipulation Detection Heuristics.</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Most substantial contribution</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Formulated and implemented the core mathematical engine of Digital Mohalla: the recency-weighted Bayesian Beta posterior distribution with 90% credible intervals, multi-dimensional contextual similarity weighting (replacement value tier, category, duration), and deterministic decision rules R1–R9 that compile human-readable evidence explanations.</w:t>
            </w:r>
          </w:p>
        </w:tc>
      </w:tr>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Problem personally resolved</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Identified and corrected Defect D-01 in Decision Policy Rule R8, where retaliatory ratings following a dispute were erroneously triggering outright borrowing rejections. Re-engineered Rule R8 to down-weight retaliatory reviews and mandate in-person return safeguards rather than issuing unfair account bans.</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Tool-assisted work</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Used Claude Code to assist in generating NumPy/SciPy vectorized beta CDF calculations and Hypothesis property-based testing scaffolds. Independently verified mathematical formulas against academic textbooks and verified monotonicity proofs.</w:t>
            </w:r>
          </w:p>
        </w:tc>
      </w:tr>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Next committed work</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Finalize collusion burst detection heuristics and reciprocal rating ring filters (Slice C) before Thursday's evaluation.</w:t>
            </w:r>
          </w:p>
        </w:tc>
      </w:tr>
    </w:tbl>
    <w:p>
      <w:pPr>
        <w:pStyle w:val="Heading2"/>
        <w:keepNext/>
        <w:spacing w:before="240" w:after="80"/>
      </w:pPr>
      <w:r>
        <w:rPr>
          <w:rFonts w:ascii="Calibri" w:hAnsi="Calibri"/>
          <w:b/>
          <w:color w:val="111827"/>
          <w:sz w:val="24"/>
        </w:rPr>
        <w:t>Member 2 contribution items</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592"/>
        <w:gridCol w:w="2160"/>
        <w:gridCol w:w="1296"/>
        <w:gridCol w:w="2160"/>
        <w:gridCol w:w="1872"/>
      </w:tblGrid>
      <w:tr>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Contribution</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Repository or artefact</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Commit PR or version</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Test or result</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Role</w:t>
            </w:r>
          </w:p>
        </w:tc>
      </w:tr>
      <w:tr>
        <w:tc>
          <w:tcPr>
            <w:tcW w:type="dxa" w:w="2045"/>
            <w:shd w:fill="F9FAFB"/>
            <w:tcMar>
              <w:top w:w="80" w:type="dxa"/>
              <w:bottom w:w="80" w:type="dxa"/>
              <w:left w:w="120" w:type="dxa"/>
              <w:right w:w="120" w:type="dxa"/>
            </w:tcMar>
          </w:tcPr>
          <w:p>
            <w:pPr>
              <w:spacing w:before="40" w:after="40" w:line="276" w:lineRule="auto"/>
            </w:pPr>
            <w:r>
              <w:rPr>
                <w:rFonts w:ascii="Calibri" w:hAnsi="Calibri"/>
                <w:b/>
                <w:color w:val="000000"/>
                <w:sz w:val="16"/>
              </w:rPr>
              <w:t>Bayesian Beta Posterior Estimator</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backend/app/domain/assurance/estimation/posterior.py</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PR #24</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TC-20: 24 Hypothesis property tests pass</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Designed, implemented, tested</w:t>
            </w:r>
          </w:p>
        </w:tc>
      </w:tr>
      <w:tr>
        <w:tc>
          <w:tcPr>
            <w:tcW w:type="dxa" w:w="2045"/>
            <w:shd w:fill="FFFFFF"/>
            <w:tcMar>
              <w:top w:w="80" w:type="dxa"/>
              <w:bottom w:w="80" w:type="dxa"/>
              <w:left w:w="120" w:type="dxa"/>
              <w:right w:w="120" w:type="dxa"/>
            </w:tcMar>
          </w:tcPr>
          <w:p>
            <w:pPr>
              <w:spacing w:before="40" w:after="40" w:line="276" w:lineRule="auto"/>
            </w:pPr>
            <w:r>
              <w:rPr>
                <w:rFonts w:ascii="Calibri" w:hAnsi="Calibri"/>
                <w:b/>
                <w:color w:val="000000"/>
                <w:sz w:val="16"/>
              </w:rPr>
              <w:t>Multi-Dimensional Contextual Similarity</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backend/app/domain/assurance/estimation/similarity.py</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PR #24</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TC-22: value tier &amp; duration similarity pass</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Designed, implemented, tested</w:t>
            </w:r>
          </w:p>
        </w:tc>
      </w:tr>
      <w:tr>
        <w:tc>
          <w:tcPr>
            <w:tcW w:type="dxa" w:w="2045"/>
            <w:shd w:fill="F9FAFB"/>
            <w:tcMar>
              <w:top w:w="80" w:type="dxa"/>
              <w:bottom w:w="80" w:type="dxa"/>
              <w:left w:w="120" w:type="dxa"/>
              <w:right w:w="120" w:type="dxa"/>
            </w:tcMar>
          </w:tcPr>
          <w:p>
            <w:pPr>
              <w:spacing w:before="40" w:after="40" w:line="276" w:lineRule="auto"/>
            </w:pPr>
            <w:r>
              <w:rPr>
                <w:rFonts w:ascii="Calibri" w:hAnsi="Calibri"/>
                <w:b/>
                <w:color w:val="000000"/>
                <w:sz w:val="16"/>
              </w:rPr>
              <w:t>Trust-Edge Weighting &amp; Half-Life Decay</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backend/app/infra/db/trust_edges.py</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PR #24</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180-day half-life decay verified against math</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Designed, implemented, tested</w:t>
            </w:r>
          </w:p>
        </w:tc>
      </w:tr>
      <w:tr>
        <w:tc>
          <w:tcPr>
            <w:tcW w:type="dxa" w:w="2045"/>
            <w:shd w:fill="FFFFFF"/>
            <w:tcMar>
              <w:top w:w="80" w:type="dxa"/>
              <w:bottom w:w="80" w:type="dxa"/>
              <w:left w:w="120" w:type="dxa"/>
              <w:right w:w="120" w:type="dxa"/>
            </w:tcMar>
          </w:tcPr>
          <w:p>
            <w:pPr>
              <w:spacing w:before="40" w:after="40" w:line="276" w:lineRule="auto"/>
            </w:pPr>
            <w:r>
              <w:rPr>
                <w:rFonts w:ascii="Calibri" w:hAnsi="Calibri"/>
                <w:b/>
                <w:color w:val="000000"/>
                <w:sz w:val="16"/>
              </w:rPr>
              <w:t>Context-Aware Decision Policy Rules R1–R9</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backend/app/domain/assurance/policy/policy.py</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PR #26</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TC-30: 14 rule fixture tests pass</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Designed, implemented, tested</w:t>
            </w:r>
          </w:p>
        </w:tc>
      </w:tr>
      <w:tr>
        <w:tc>
          <w:tcPr>
            <w:tcW w:type="dxa" w:w="2045"/>
            <w:shd w:fill="F9FAFB"/>
            <w:tcMar>
              <w:top w:w="80" w:type="dxa"/>
              <w:bottom w:w="80" w:type="dxa"/>
              <w:left w:w="120" w:type="dxa"/>
              <w:right w:w="120" w:type="dxa"/>
            </w:tcMar>
          </w:tcPr>
          <w:p>
            <w:pPr>
              <w:spacing w:before="40" w:after="40" w:line="276" w:lineRule="auto"/>
            </w:pPr>
            <w:r>
              <w:rPr>
                <w:rFonts w:ascii="Calibri" w:hAnsi="Calibri"/>
                <w:b/>
                <w:color w:val="000000"/>
                <w:sz w:val="16"/>
              </w:rPr>
              <w:t>Natural-Language Evidence Narrative Compiler</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backend/app/domain/assurance/policy/explanation.py</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PR #26</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Structured explanation verified in UI/API</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Designed, implemented, integrated</w:t>
            </w:r>
          </w:p>
        </w:tc>
      </w:tr>
    </w:tbl>
    <w:p>
      <w:pPr>
        <w:pStyle w:val="Heading2"/>
        <w:keepNext/>
        <w:spacing w:before="240" w:after="80"/>
      </w:pPr>
      <w:r>
        <w:rPr>
          <w:rFonts w:ascii="Calibri" w:hAnsi="Calibri"/>
          <w:b/>
          <w:color w:val="111827"/>
          <w:sz w:val="24"/>
        </w:rPr>
        <w:t>Member 2 declaration</w:t>
      </w:r>
    </w:p>
    <w:tbl>
      <w:tblPr>
        <w:tblW w:type="auto" w:w="0"/>
        <w:tblLook w:firstColumn="1" w:firstRow="1" w:lastColumn="0" w:lastRow="0" w:noHBand="0" w:noVBand="1" w:val="04A0"/>
        <w:tblBorders>
          <w:top w:val="single" w:sz="4" w:space="0" w:color="E5E7EB"/>
          <w:bottom w:val="single" w:sz="4" w:space="0" w:color="E5E7EB"/>
          <w:insideH w:val="single" w:sz="4" w:space="0" w:color="E5E7EB"/>
          <w:insideV w:val="single" w:sz="4" w:space="0" w:color="E5E7EB"/>
          <w:left w:val="none"/>
          <w:right w:val="none"/>
        </w:tblBorders>
      </w:tblPr>
      <w:tblGrid>
        <w:gridCol w:w="10224"/>
      </w:tblGrid>
      <w:tr>
        <w:tc>
          <w:tcPr>
            <w:tcW w:type="dxa" w:w="10224"/>
            <w:shd w:fill="FFFFFF"/>
            <w:tcMar>
              <w:top w:w="80" w:type="dxa"/>
              <w:bottom w:w="80" w:type="dxa"/>
              <w:left w:w="120" w:type="dxa"/>
              <w:right w:w="120" w:type="dxa"/>
            </w:tcMar>
          </w:tcPr>
          <w:p>
            <w:pPr>
              <w:spacing w:before="40" w:after="40" w:line="276" w:lineRule="auto"/>
            </w:pPr>
            <w:r>
              <w:rPr>
                <w:rFonts w:ascii="Calibri" w:hAnsi="Calibri"/>
                <w:b w:val="0"/>
                <w:color w:val="000000"/>
                <w:sz w:val="17"/>
              </w:rPr>
              <w:t>☒ I can explain the architecture and data flow relevant to my work.</w:t>
            </w:r>
          </w:p>
        </w:tc>
      </w:tr>
      <w:tr>
        <w:tc>
          <w:tcPr>
            <w:tcW w:type="dxa" w:w="10224"/>
            <w:shd w:fill="FFFFFF"/>
            <w:tcMar>
              <w:top w:w="80" w:type="dxa"/>
              <w:bottom w:w="80" w:type="dxa"/>
              <w:left w:w="120" w:type="dxa"/>
              <w:right w:w="120" w:type="dxa"/>
            </w:tcMar>
          </w:tcPr>
          <w:p>
            <w:pPr>
              <w:spacing w:before="40" w:after="40" w:line="276" w:lineRule="auto"/>
            </w:pPr>
            <w:r>
              <w:rPr>
                <w:rFonts w:ascii="Calibri" w:hAnsi="Calibri"/>
                <w:b w:val="0"/>
                <w:color w:val="000000"/>
                <w:sz w:val="17"/>
              </w:rPr>
              <w:t>☒ I can locate and explain my implementation and tests.</w:t>
            </w:r>
          </w:p>
        </w:tc>
      </w:tr>
      <w:tr>
        <w:tc>
          <w:tcPr>
            <w:tcW w:type="dxa" w:w="10224"/>
            <w:shd w:fill="FFFFFF"/>
            <w:tcMar>
              <w:top w:w="80" w:type="dxa"/>
              <w:bottom w:w="80" w:type="dxa"/>
              <w:left w:w="120" w:type="dxa"/>
              <w:right w:w="120" w:type="dxa"/>
            </w:tcMar>
          </w:tcPr>
          <w:p>
            <w:pPr>
              <w:spacing w:before="40" w:after="40" w:line="276" w:lineRule="auto"/>
            </w:pPr>
            <w:r>
              <w:rPr>
                <w:rFonts w:ascii="Calibri" w:hAnsi="Calibri"/>
                <w:b w:val="0"/>
                <w:color w:val="000000"/>
                <w:sz w:val="17"/>
              </w:rPr>
              <w:t>☒ I can explain a design decision and its alternatives.</w:t>
            </w:r>
          </w:p>
        </w:tc>
      </w:tr>
      <w:tr>
        <w:tc>
          <w:tcPr>
            <w:tcW w:type="dxa" w:w="10224"/>
            <w:shd w:fill="FFFFFF"/>
            <w:tcMar>
              <w:top w:w="80" w:type="dxa"/>
              <w:bottom w:w="80" w:type="dxa"/>
              <w:left w:w="120" w:type="dxa"/>
              <w:right w:w="120" w:type="dxa"/>
            </w:tcMar>
          </w:tcPr>
          <w:p>
            <w:pPr>
              <w:spacing w:before="40" w:after="40" w:line="276" w:lineRule="auto"/>
            </w:pPr>
            <w:r>
              <w:rPr>
                <w:rFonts w:ascii="Calibri" w:hAnsi="Calibri"/>
                <w:b w:val="0"/>
                <w:color w:val="000000"/>
                <w:sz w:val="17"/>
              </w:rPr>
              <w:t>☒ I have disclosed material LLM and external tool assistance.</w:t>
            </w:r>
          </w:p>
        </w:tc>
      </w:tr>
      <w:tr>
        <w:tc>
          <w:tcPr>
            <w:tcW w:type="dxa" w:w="10224"/>
            <w:shd w:fill="FFFFFF"/>
            <w:tcMar>
              <w:top w:w="80" w:type="dxa"/>
              <w:bottom w:w="80" w:type="dxa"/>
              <w:left w:w="120" w:type="dxa"/>
              <w:right w:w="120" w:type="dxa"/>
            </w:tcMar>
          </w:tcPr>
          <w:p>
            <w:pPr>
              <w:spacing w:before="40" w:after="40" w:line="276" w:lineRule="auto"/>
            </w:pPr>
            <w:r>
              <w:rPr>
                <w:rFonts w:ascii="Calibri" w:hAnsi="Calibri"/>
                <w:b w:val="0"/>
                <w:color w:val="000000"/>
                <w:sz w:val="17"/>
              </w:rPr>
              <w:t>☒ The evidence above accurately represents my contribution.</w:t>
            </w:r>
          </w:p>
        </w:tc>
      </w:tr>
      <w:tr>
        <w:tc>
          <w:tcPr>
            <w:tcW w:type="dxa" w:w="10224"/>
            <w:shd w:fill="F3F4F6"/>
            <w:tcMar>
              <w:top w:w="80" w:type="dxa"/>
              <w:bottom w:w="80" w:type="dxa"/>
              <w:left w:w="120" w:type="dxa"/>
              <w:right w:w="120" w:type="dxa"/>
            </w:tcMar>
          </w:tcPr>
          <w:p>
            <w:pPr>
              <w:spacing w:before="40" w:after="40" w:line="276" w:lineRule="auto"/>
            </w:pPr>
            <w:r>
              <w:rPr>
                <w:rFonts w:ascii="Calibri" w:hAnsi="Calibri"/>
                <w:b/>
                <w:color w:val="000000"/>
                <w:sz w:val="17"/>
              </w:rPr>
              <w:t>Member confirmation: Areeba Javed (signed) | Date: October 13, 2026</w:t>
            </w:r>
          </w:p>
        </w:tc>
      </w:tr>
    </w:tbl>
    <w:p>
      <w:pPr>
        <w:pStyle w:val="Heading1"/>
        <w:keepNext/>
        <w:spacing w:before="240" w:after="80"/>
      </w:pPr>
      <w:r>
        <w:rPr>
          <w:rFonts w:ascii="Calibri" w:hAnsi="Calibri"/>
          <w:b/>
          <w:color w:val="1E3A8A"/>
          <w:sz w:val="28"/>
        </w:rPr>
        <w:t>11 Individual evidence Member 3</w:t>
      </w:r>
    </w:p>
    <w:p>
      <w:r>
        <w:rPr>
          <w:i/>
          <w:sz w:val="18"/>
        </w:rPr>
        <w:t>Complete this section individually. The supervisor may ask the member to locate, explain, test or modify any claimed contribution during the meeting.</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592"/>
        <w:gridCol w:w="7488"/>
      </w:tblGrid>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Name and registration number</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Minahil Kashif | 23i-0554</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Repository identity</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mina-hill (Minahil Kashif)</w:t>
            </w:r>
          </w:p>
        </w:tc>
      </w:tr>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Primary technical ownership</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Student 3 (S3): React Native (Expo SDK 52) Presentation Client, 3-Layer Lender Evidence Dashboard, Deterministic Synthetic Dataset Generator, Moderation UI, and Continuous Deployment (CD) Cloud Hosting Architecture.</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Most substantial contribution</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Designed and engineered the cross-platform React Native presentation client and the 3-layer lender evidence dashboard (AssurancePanel.tsx), translating complex mathematical Beta intervals and indirect trust graphs into actionable, human-centered UI cards. Also built the deterministic synthetic scenario evaluation generator (neighborhood-sim).</w:t>
            </w:r>
          </w:p>
        </w:tc>
      </w:tr>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Problem personally resolved</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Diagnosed and resolved client-server API contract drift (Defect D-03) where mobile client request types fell out of sync with FastAPI Pydantic models. Established automated openapi-typescript contract synchronization in CI to guarantee compile-time type safety across frontend and backend.</w:t>
            </w:r>
          </w:p>
        </w:tc>
      </w:tr>
      <w:tr>
        <w:tc>
          <w:tcPr>
            <w:tcW w:type="dxa" w:w="5112"/>
            <w:shd w:fill="FFFFFF"/>
            <w:tcMar>
              <w:top w:w="80" w:type="dxa"/>
              <w:bottom w:w="80" w:type="dxa"/>
              <w:left w:w="120" w:type="dxa"/>
              <w:right w:w="120" w:type="dxa"/>
            </w:tcMar>
          </w:tcPr>
          <w:p>
            <w:pPr>
              <w:spacing w:before="40" w:after="40" w:line="276" w:lineRule="auto"/>
            </w:pPr>
            <w:r>
              <w:rPr>
                <w:rFonts w:ascii="Calibri" w:hAnsi="Calibri"/>
                <w:b/>
                <w:color w:val="000000"/>
                <w:sz w:val="17"/>
              </w:rPr>
              <w:t>Tool-assisted work</w:t>
            </w:r>
          </w:p>
        </w:tc>
        <w:tc>
          <w:tcPr>
            <w:tcW w:type="dxa" w:w="5112"/>
            <w:shd w:fill="FFFFFF"/>
            <w:tcMar>
              <w:top w:w="80" w:type="dxa"/>
              <w:bottom w:w="80" w:type="dxa"/>
              <w:left w:w="120" w:type="dxa"/>
              <w:right w:w="120" w:type="dxa"/>
            </w:tcMar>
          </w:tcPr>
          <w:p>
            <w:pPr>
              <w:spacing w:before="40" w:after="40" w:line="276" w:lineRule="auto"/>
            </w:pPr>
            <w:r>
              <w:rPr>
                <w:rFonts w:ascii="Calibri" w:hAnsi="Calibri"/>
                <w:b w:val="0"/>
                <w:color w:val="000000"/>
                <w:sz w:val="17"/>
              </w:rPr>
              <w:t>Used ChatGPT to scaffold initial React Native styling and component boilerplate. Personally customized the responsive design system, implemented the 3-layer information hierarchy, and verified cross-browser compatibility.</w:t>
            </w:r>
          </w:p>
        </w:tc>
      </w:tr>
      <w:tr>
        <w:tc>
          <w:tcPr>
            <w:tcW w:type="dxa" w:w="5112"/>
            <w:shd w:fill="F3F4F6"/>
            <w:tcMar>
              <w:top w:w="80" w:type="dxa"/>
              <w:bottom w:w="80" w:type="dxa"/>
              <w:left w:w="120" w:type="dxa"/>
              <w:right w:w="120" w:type="dxa"/>
            </w:tcMar>
          </w:tcPr>
          <w:p>
            <w:pPr>
              <w:spacing w:before="40" w:after="40" w:line="276" w:lineRule="auto"/>
            </w:pPr>
            <w:r>
              <w:rPr>
                <w:rFonts w:ascii="Calibri" w:hAnsi="Calibri"/>
                <w:b/>
                <w:color w:val="000000"/>
                <w:sz w:val="17"/>
              </w:rPr>
              <w:t>Next committed work</w:t>
            </w:r>
          </w:p>
        </w:tc>
        <w:tc>
          <w:tcPr>
            <w:tcW w:type="dxa" w:w="5112"/>
            <w:shd w:fill="F3F4F6"/>
            <w:tcMar>
              <w:top w:w="80" w:type="dxa"/>
              <w:bottom w:w="80" w:type="dxa"/>
              <w:left w:w="120" w:type="dxa"/>
              <w:right w:w="120" w:type="dxa"/>
            </w:tcMar>
          </w:tcPr>
          <w:p>
            <w:pPr>
              <w:spacing w:before="40" w:after="40" w:line="276" w:lineRule="auto"/>
            </w:pPr>
            <w:r>
              <w:rPr>
                <w:rFonts w:ascii="Calibri" w:hAnsi="Calibri"/>
                <w:b w:val="0"/>
                <w:color w:val="000000"/>
                <w:sz w:val="17"/>
              </w:rPr>
              <w:t>Complete the dispute resolution evidence submission screen (W5) and moderator adjudication queue (W6/W7) before Thursday's evaluation.</w:t>
            </w:r>
          </w:p>
        </w:tc>
      </w:tr>
    </w:tbl>
    <w:p>
      <w:pPr>
        <w:pStyle w:val="Heading2"/>
        <w:keepNext/>
        <w:spacing w:before="240" w:after="80"/>
      </w:pPr>
      <w:r>
        <w:rPr>
          <w:rFonts w:ascii="Calibri" w:hAnsi="Calibri"/>
          <w:b/>
          <w:color w:val="111827"/>
          <w:sz w:val="24"/>
        </w:rPr>
        <w:t>Member 3 contribution items</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592"/>
        <w:gridCol w:w="2160"/>
        <w:gridCol w:w="1296"/>
        <w:gridCol w:w="2160"/>
        <w:gridCol w:w="1872"/>
      </w:tblGrid>
      <w:tr>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Contribution</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Repository or artefact</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Commit PR or version</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Test or result</w:t>
            </w:r>
          </w:p>
        </w:tc>
        <w:tc>
          <w:tcPr>
            <w:tcW w:type="dxa" w:w="2045"/>
            <w:shd w:fill="1E3A8A"/>
            <w:tcMar>
              <w:top w:w="80" w:type="dxa"/>
              <w:bottom w:w="80" w:type="dxa"/>
              <w:left w:w="120" w:type="dxa"/>
              <w:right w:w="120" w:type="dxa"/>
            </w:tcMar>
          </w:tcPr>
          <w:p>
            <w:pPr>
              <w:spacing w:before="40" w:after="40" w:line="276" w:lineRule="auto"/>
            </w:pPr>
            <w:r>
              <w:rPr>
                <w:rFonts w:ascii="Calibri" w:hAnsi="Calibri"/>
                <w:b/>
                <w:color w:val="FFFFFF"/>
                <w:sz w:val="16"/>
              </w:rPr>
              <w:t>Role</w:t>
            </w:r>
          </w:p>
        </w:tc>
      </w:tr>
      <w:tr>
        <w:tc>
          <w:tcPr>
            <w:tcW w:type="dxa" w:w="2045"/>
            <w:shd w:fill="F9FAFB"/>
            <w:tcMar>
              <w:top w:w="80" w:type="dxa"/>
              <w:bottom w:w="80" w:type="dxa"/>
              <w:left w:w="120" w:type="dxa"/>
              <w:right w:w="120" w:type="dxa"/>
            </w:tcMar>
          </w:tcPr>
          <w:p>
            <w:pPr>
              <w:spacing w:before="40" w:after="40" w:line="276" w:lineRule="auto"/>
            </w:pPr>
            <w:r>
              <w:rPr>
                <w:rFonts w:ascii="Calibri" w:hAnsi="Calibri"/>
                <w:b/>
                <w:color w:val="000000"/>
                <w:sz w:val="16"/>
              </w:rPr>
              <w:t>React Native (Expo SDK 52) Client App</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frontend/src/app/</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PR #27</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Mobile &amp; Web flows verified live</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Designed, implemented, tested</w:t>
            </w:r>
          </w:p>
        </w:tc>
      </w:tr>
      <w:tr>
        <w:tc>
          <w:tcPr>
            <w:tcW w:type="dxa" w:w="2045"/>
            <w:shd w:fill="FFFFFF"/>
            <w:tcMar>
              <w:top w:w="80" w:type="dxa"/>
              <w:bottom w:w="80" w:type="dxa"/>
              <w:left w:w="120" w:type="dxa"/>
              <w:right w:w="120" w:type="dxa"/>
            </w:tcMar>
          </w:tcPr>
          <w:p>
            <w:pPr>
              <w:spacing w:before="40" w:after="40" w:line="276" w:lineRule="auto"/>
            </w:pPr>
            <w:r>
              <w:rPr>
                <w:rFonts w:ascii="Calibri" w:hAnsi="Calibri"/>
                <w:b/>
                <w:color w:val="000000"/>
                <w:sz w:val="16"/>
              </w:rPr>
              <w:t>3-Layer Lender Evidence Dashboard Screen</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frontend/src/components/request/AssurancePanel.tsx</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PR #28</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TC-100: Jest UI component tests pass</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Designed, implemented, tested</w:t>
            </w:r>
          </w:p>
        </w:tc>
      </w:tr>
      <w:tr>
        <w:tc>
          <w:tcPr>
            <w:tcW w:type="dxa" w:w="2045"/>
            <w:shd w:fill="F9FAFB"/>
            <w:tcMar>
              <w:top w:w="80" w:type="dxa"/>
              <w:bottom w:w="80" w:type="dxa"/>
              <w:left w:w="120" w:type="dxa"/>
              <w:right w:w="120" w:type="dxa"/>
            </w:tcMar>
          </w:tcPr>
          <w:p>
            <w:pPr>
              <w:spacing w:before="40" w:after="40" w:line="276" w:lineRule="auto"/>
            </w:pPr>
            <w:r>
              <w:rPr>
                <w:rFonts w:ascii="Calibri" w:hAnsi="Calibri"/>
                <w:b/>
                <w:color w:val="000000"/>
                <w:sz w:val="16"/>
              </w:rPr>
              <w:t>Synthetic Dataset Generator (neighborhood-sim)</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backend/tests/scenarios/generator.py</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Commit 093a16f</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13 synthetic scenarios pass deterministically</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Designed, implemented, tested</w:t>
            </w:r>
          </w:p>
        </w:tc>
      </w:tr>
      <w:tr>
        <w:tc>
          <w:tcPr>
            <w:tcW w:type="dxa" w:w="2045"/>
            <w:shd w:fill="FFFFFF"/>
            <w:tcMar>
              <w:top w:w="80" w:type="dxa"/>
              <w:bottom w:w="80" w:type="dxa"/>
              <w:left w:w="120" w:type="dxa"/>
              <w:right w:w="120" w:type="dxa"/>
            </w:tcMar>
          </w:tcPr>
          <w:p>
            <w:pPr>
              <w:spacing w:before="40" w:after="40" w:line="276" w:lineRule="auto"/>
            </w:pPr>
            <w:r>
              <w:rPr>
                <w:rFonts w:ascii="Calibri" w:hAnsi="Calibri"/>
                <w:b/>
                <w:color w:val="000000"/>
                <w:sz w:val="16"/>
              </w:rPr>
              <w:t>Dual-Party Handover &amp; Return UI Screens</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frontend/src/components/inspection/</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PR #27</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W3a, W3b, W4 screens rendered and verified</w:t>
            </w:r>
          </w:p>
        </w:tc>
        <w:tc>
          <w:tcPr>
            <w:tcW w:type="dxa" w:w="2045"/>
            <w:shd w:fill="FFFFFF"/>
            <w:tcMar>
              <w:top w:w="80" w:type="dxa"/>
              <w:bottom w:w="80" w:type="dxa"/>
              <w:left w:w="120" w:type="dxa"/>
              <w:right w:w="120" w:type="dxa"/>
            </w:tcMar>
          </w:tcPr>
          <w:p>
            <w:pPr>
              <w:spacing w:before="40" w:after="40" w:line="276" w:lineRule="auto"/>
            </w:pPr>
            <w:r>
              <w:rPr>
                <w:rFonts w:ascii="Calibri" w:hAnsi="Calibri"/>
                <w:b w:val="0"/>
                <w:color w:val="000000"/>
                <w:sz w:val="16"/>
              </w:rPr>
              <w:t>Designed, implemented, tested</w:t>
            </w:r>
          </w:p>
        </w:tc>
      </w:tr>
      <w:tr>
        <w:tc>
          <w:tcPr>
            <w:tcW w:type="dxa" w:w="2045"/>
            <w:shd w:fill="F9FAFB"/>
            <w:tcMar>
              <w:top w:w="80" w:type="dxa"/>
              <w:bottom w:w="80" w:type="dxa"/>
              <w:left w:w="120" w:type="dxa"/>
              <w:right w:w="120" w:type="dxa"/>
            </w:tcMar>
          </w:tcPr>
          <w:p>
            <w:pPr>
              <w:spacing w:before="40" w:after="40" w:line="276" w:lineRule="auto"/>
            </w:pPr>
            <w:r>
              <w:rPr>
                <w:rFonts w:ascii="Calibri" w:hAnsi="Calibri"/>
                <w:b/>
                <w:color w:val="000000"/>
                <w:sz w:val="16"/>
              </w:rPr>
              <w:t>Continuous Deployment (CD) Cloud Hosting</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render.yaml, Dockerfile, infra/deploy/</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Commit 093a16f</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Live Web &amp; API on Render/Neon cloud</w:t>
            </w:r>
          </w:p>
        </w:tc>
        <w:tc>
          <w:tcPr>
            <w:tcW w:type="dxa" w:w="2045"/>
            <w:shd w:fill="F9FAFB"/>
            <w:tcMar>
              <w:top w:w="80" w:type="dxa"/>
              <w:bottom w:w="80" w:type="dxa"/>
              <w:left w:w="120" w:type="dxa"/>
              <w:right w:w="120" w:type="dxa"/>
            </w:tcMar>
          </w:tcPr>
          <w:p>
            <w:pPr>
              <w:spacing w:before="40" w:after="40" w:line="276" w:lineRule="auto"/>
            </w:pPr>
            <w:r>
              <w:rPr>
                <w:rFonts w:ascii="Calibri" w:hAnsi="Calibri"/>
                <w:b w:val="0"/>
                <w:color w:val="000000"/>
                <w:sz w:val="16"/>
              </w:rPr>
              <w:t>Designed, configured, deployed</w:t>
            </w:r>
          </w:p>
        </w:tc>
      </w:tr>
    </w:tbl>
    <w:p>
      <w:pPr>
        <w:pStyle w:val="Heading2"/>
        <w:keepNext/>
        <w:spacing w:before="240" w:after="80"/>
      </w:pPr>
      <w:r>
        <w:rPr>
          <w:rFonts w:ascii="Calibri" w:hAnsi="Calibri"/>
          <w:b/>
          <w:color w:val="111827"/>
          <w:sz w:val="24"/>
        </w:rPr>
        <w:t>Member 3 declaration</w:t>
      </w:r>
    </w:p>
    <w:tbl>
      <w:tblPr>
        <w:tblW w:type="auto" w:w="0"/>
        <w:tblLook w:firstColumn="1" w:firstRow="1" w:lastColumn="0" w:lastRow="0" w:noHBand="0" w:noVBand="1" w:val="04A0"/>
        <w:tblBorders>
          <w:top w:val="single" w:sz="4" w:space="0" w:color="E5E7EB"/>
          <w:bottom w:val="single" w:sz="4" w:space="0" w:color="E5E7EB"/>
          <w:insideH w:val="single" w:sz="4" w:space="0" w:color="E5E7EB"/>
          <w:insideV w:val="single" w:sz="4" w:space="0" w:color="E5E7EB"/>
          <w:left w:val="none"/>
          <w:right w:val="none"/>
        </w:tblBorders>
      </w:tblPr>
      <w:tblGrid>
        <w:gridCol w:w="10224"/>
      </w:tblGrid>
      <w:tr>
        <w:tc>
          <w:tcPr>
            <w:tcW w:type="dxa" w:w="10224"/>
            <w:shd w:fill="FFFFFF"/>
            <w:tcMar>
              <w:top w:w="80" w:type="dxa"/>
              <w:bottom w:w="80" w:type="dxa"/>
              <w:left w:w="120" w:type="dxa"/>
              <w:right w:w="120" w:type="dxa"/>
            </w:tcMar>
          </w:tcPr>
          <w:p>
            <w:pPr>
              <w:spacing w:before="40" w:after="40" w:line="276" w:lineRule="auto"/>
            </w:pPr>
            <w:r>
              <w:rPr>
                <w:rFonts w:ascii="Calibri" w:hAnsi="Calibri"/>
                <w:b w:val="0"/>
                <w:color w:val="000000"/>
                <w:sz w:val="17"/>
              </w:rPr>
              <w:t>☒ I can explain the architecture and data flow relevant to my work.</w:t>
            </w:r>
          </w:p>
        </w:tc>
      </w:tr>
      <w:tr>
        <w:tc>
          <w:tcPr>
            <w:tcW w:type="dxa" w:w="10224"/>
            <w:shd w:fill="FFFFFF"/>
            <w:tcMar>
              <w:top w:w="80" w:type="dxa"/>
              <w:bottom w:w="80" w:type="dxa"/>
              <w:left w:w="120" w:type="dxa"/>
              <w:right w:w="120" w:type="dxa"/>
            </w:tcMar>
          </w:tcPr>
          <w:p>
            <w:pPr>
              <w:spacing w:before="40" w:after="40" w:line="276" w:lineRule="auto"/>
            </w:pPr>
            <w:r>
              <w:rPr>
                <w:rFonts w:ascii="Calibri" w:hAnsi="Calibri"/>
                <w:b w:val="0"/>
                <w:color w:val="000000"/>
                <w:sz w:val="17"/>
              </w:rPr>
              <w:t>☒ I can locate and explain my implementation and tests.</w:t>
            </w:r>
          </w:p>
        </w:tc>
      </w:tr>
      <w:tr>
        <w:tc>
          <w:tcPr>
            <w:tcW w:type="dxa" w:w="10224"/>
            <w:shd w:fill="FFFFFF"/>
            <w:tcMar>
              <w:top w:w="80" w:type="dxa"/>
              <w:bottom w:w="80" w:type="dxa"/>
              <w:left w:w="120" w:type="dxa"/>
              <w:right w:w="120" w:type="dxa"/>
            </w:tcMar>
          </w:tcPr>
          <w:p>
            <w:pPr>
              <w:spacing w:before="40" w:after="40" w:line="276" w:lineRule="auto"/>
            </w:pPr>
            <w:r>
              <w:rPr>
                <w:rFonts w:ascii="Calibri" w:hAnsi="Calibri"/>
                <w:b w:val="0"/>
                <w:color w:val="000000"/>
                <w:sz w:val="17"/>
              </w:rPr>
              <w:t>☒ I can explain a design decision and its alternatives.</w:t>
            </w:r>
          </w:p>
        </w:tc>
      </w:tr>
      <w:tr>
        <w:tc>
          <w:tcPr>
            <w:tcW w:type="dxa" w:w="10224"/>
            <w:shd w:fill="FFFFFF"/>
            <w:tcMar>
              <w:top w:w="80" w:type="dxa"/>
              <w:bottom w:w="80" w:type="dxa"/>
              <w:left w:w="120" w:type="dxa"/>
              <w:right w:w="120" w:type="dxa"/>
            </w:tcMar>
          </w:tcPr>
          <w:p>
            <w:pPr>
              <w:spacing w:before="40" w:after="40" w:line="276" w:lineRule="auto"/>
            </w:pPr>
            <w:r>
              <w:rPr>
                <w:rFonts w:ascii="Calibri" w:hAnsi="Calibri"/>
                <w:b w:val="0"/>
                <w:color w:val="000000"/>
                <w:sz w:val="17"/>
              </w:rPr>
              <w:t>☒ I have disclosed material LLM and external tool assistance.</w:t>
            </w:r>
          </w:p>
        </w:tc>
      </w:tr>
      <w:tr>
        <w:tc>
          <w:tcPr>
            <w:tcW w:type="dxa" w:w="10224"/>
            <w:shd w:fill="FFFFFF"/>
            <w:tcMar>
              <w:top w:w="80" w:type="dxa"/>
              <w:bottom w:w="80" w:type="dxa"/>
              <w:left w:w="120" w:type="dxa"/>
              <w:right w:w="120" w:type="dxa"/>
            </w:tcMar>
          </w:tcPr>
          <w:p>
            <w:pPr>
              <w:spacing w:before="40" w:after="40" w:line="276" w:lineRule="auto"/>
            </w:pPr>
            <w:r>
              <w:rPr>
                <w:rFonts w:ascii="Calibri" w:hAnsi="Calibri"/>
                <w:b w:val="0"/>
                <w:color w:val="000000"/>
                <w:sz w:val="17"/>
              </w:rPr>
              <w:t>☒ The evidence above accurately represents my contribution.</w:t>
            </w:r>
          </w:p>
        </w:tc>
      </w:tr>
      <w:tr>
        <w:tc>
          <w:tcPr>
            <w:tcW w:type="dxa" w:w="10224"/>
            <w:shd w:fill="F3F4F6"/>
            <w:tcMar>
              <w:top w:w="80" w:type="dxa"/>
              <w:bottom w:w="80" w:type="dxa"/>
              <w:left w:w="120" w:type="dxa"/>
              <w:right w:w="120" w:type="dxa"/>
            </w:tcMar>
          </w:tcPr>
          <w:p>
            <w:pPr>
              <w:spacing w:before="40" w:after="40" w:line="276" w:lineRule="auto"/>
            </w:pPr>
            <w:r>
              <w:rPr>
                <w:rFonts w:ascii="Calibri" w:hAnsi="Calibri"/>
                <w:b/>
                <w:color w:val="000000"/>
                <w:sz w:val="17"/>
              </w:rPr>
              <w:t>Member confirmation: Minahil Kashif (signed) | Date: October 13, 2026</w:t>
            </w:r>
          </w:p>
        </w:tc>
      </w:tr>
    </w:tbl>
    <w:p>
      <w:pPr>
        <w:pStyle w:val="Heading1"/>
        <w:keepNext/>
        <w:spacing w:before="240" w:after="80"/>
      </w:pPr>
      <w:r>
        <w:rPr>
          <w:rFonts w:ascii="Calibri" w:hAnsi="Calibri"/>
          <w:b/>
          <w:color w:val="1E3A8A"/>
          <w:sz w:val="28"/>
        </w:rPr>
        <w:t>12 Evidence index and final check</w:t>
      </w:r>
    </w:p>
    <w:p>
      <w:pPr>
        <w:pStyle w:val="Heading2"/>
        <w:keepNext/>
        <w:spacing w:before="240" w:after="80"/>
      </w:pPr>
      <w:r>
        <w:rPr>
          <w:rFonts w:ascii="Calibri" w:hAnsi="Calibri"/>
          <w:b/>
          <w:color w:val="111827"/>
          <w:sz w:val="24"/>
        </w:rPr>
        <w:t>Form 2 Evidence Index</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3168"/>
        <w:gridCol w:w="2160"/>
        <w:gridCol w:w="3168"/>
        <w:gridCol w:w="1584"/>
      </w:tblGrid>
      <w:tr>
        <w:tc>
          <w:tcPr>
            <w:tcW w:type="dxa" w:w="2556"/>
            <w:shd w:fill="1E3A8A"/>
            <w:tcMar>
              <w:top w:w="80" w:type="dxa"/>
              <w:bottom w:w="80" w:type="dxa"/>
              <w:left w:w="120" w:type="dxa"/>
              <w:right w:w="120" w:type="dxa"/>
            </w:tcMar>
          </w:tcPr>
          <w:p>
            <w:pPr>
              <w:spacing w:before="40" w:after="40" w:line="276" w:lineRule="auto"/>
            </w:pPr>
            <w:r>
              <w:rPr>
                <w:rFonts w:ascii="Calibri" w:hAnsi="Calibri"/>
                <w:b/>
                <w:color w:val="FFFFFF"/>
                <w:sz w:val="16"/>
              </w:rPr>
              <w:t>Official criterion</w:t>
            </w:r>
          </w:p>
        </w:tc>
        <w:tc>
          <w:tcPr>
            <w:tcW w:type="dxa" w:w="2556"/>
            <w:shd w:fill="1E3A8A"/>
            <w:tcMar>
              <w:top w:w="80" w:type="dxa"/>
              <w:bottom w:w="80" w:type="dxa"/>
              <w:left w:w="120" w:type="dxa"/>
              <w:right w:w="120" w:type="dxa"/>
            </w:tcMar>
          </w:tcPr>
          <w:p>
            <w:pPr>
              <w:spacing w:before="40" w:after="40" w:line="276" w:lineRule="auto"/>
            </w:pPr>
            <w:r>
              <w:rPr>
                <w:rFonts w:ascii="Calibri" w:hAnsi="Calibri"/>
                <w:b/>
                <w:color w:val="FFFFFF"/>
                <w:sz w:val="16"/>
              </w:rPr>
              <w:t>Where addressed</w:t>
            </w:r>
          </w:p>
        </w:tc>
        <w:tc>
          <w:tcPr>
            <w:tcW w:type="dxa" w:w="2556"/>
            <w:shd w:fill="1E3A8A"/>
            <w:tcMar>
              <w:top w:w="80" w:type="dxa"/>
              <w:bottom w:w="80" w:type="dxa"/>
              <w:left w:w="120" w:type="dxa"/>
              <w:right w:w="120" w:type="dxa"/>
            </w:tcMar>
          </w:tcPr>
          <w:p>
            <w:pPr>
              <w:spacing w:before="40" w:after="40" w:line="276" w:lineRule="auto"/>
            </w:pPr>
            <w:r>
              <w:rPr>
                <w:rFonts w:ascii="Calibri" w:hAnsi="Calibri"/>
                <w:b/>
                <w:color w:val="FFFFFF"/>
                <w:sz w:val="16"/>
              </w:rPr>
              <w:t>Primary evidence</w:t>
            </w:r>
          </w:p>
        </w:tc>
        <w:tc>
          <w:tcPr>
            <w:tcW w:type="dxa" w:w="2556"/>
            <w:shd w:fill="1E3A8A"/>
            <w:tcMar>
              <w:top w:w="80" w:type="dxa"/>
              <w:bottom w:w="80" w:type="dxa"/>
              <w:left w:w="120" w:type="dxa"/>
              <w:right w:w="120" w:type="dxa"/>
            </w:tcMar>
          </w:tcPr>
          <w:p>
            <w:pPr>
              <w:spacing w:before="40" w:after="40" w:line="276" w:lineRule="auto"/>
            </w:pPr>
            <w:r>
              <w:rPr>
                <w:rFonts w:ascii="Calibri" w:hAnsi="Calibri"/>
                <w:b/>
                <w:color w:val="FFFFFF"/>
                <w:sz w:val="16"/>
              </w:rPr>
              <w:t>Owner</w:t>
            </w:r>
          </w:p>
        </w:tc>
      </w:tr>
      <w:tr>
        <w:tc>
          <w:tcPr>
            <w:tcW w:type="dxa" w:w="2556"/>
            <w:shd w:fill="F9FAFB"/>
            <w:tcMar>
              <w:top w:w="80" w:type="dxa"/>
              <w:bottom w:w="80" w:type="dxa"/>
              <w:left w:w="120" w:type="dxa"/>
              <w:right w:w="120" w:type="dxa"/>
            </w:tcMar>
          </w:tcPr>
          <w:p>
            <w:pPr>
              <w:spacing w:before="40" w:after="40" w:line="276" w:lineRule="auto"/>
            </w:pPr>
            <w:r>
              <w:rPr>
                <w:rFonts w:ascii="Calibri" w:hAnsi="Calibri"/>
                <w:b/>
                <w:color w:val="000000"/>
                <w:sz w:val="16"/>
              </w:rPr>
              <w:t>Previous proposal actions addressed</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Worksheet Sec. 2; Report App. A, p. 53</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Proposal Action Register (Table 2.1; Form 10)</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All Group</w:t>
            </w:r>
          </w:p>
        </w:tc>
      </w:tr>
      <w:tr>
        <w:tc>
          <w:tcPr>
            <w:tcW w:type="dxa" w:w="2556"/>
            <w:shd w:fill="FFFFFF"/>
            <w:tcMar>
              <w:top w:w="80" w:type="dxa"/>
              <w:bottom w:w="80" w:type="dxa"/>
              <w:left w:w="120" w:type="dxa"/>
              <w:right w:w="120" w:type="dxa"/>
            </w:tcMar>
          </w:tcPr>
          <w:p>
            <w:pPr>
              <w:spacing w:before="40" w:after="40" w:line="276" w:lineRule="auto"/>
            </w:pPr>
            <w:r>
              <w:rPr>
                <w:rFonts w:ascii="Calibri" w:hAnsi="Calibri"/>
                <w:b/>
                <w:color w:val="000000"/>
                <w:sz w:val="16"/>
              </w:rPr>
              <w:t>Iteration plan and work breakdown progress</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Worksheet Sec. 3; Report Ch. 3, p. 23</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Iteration Plan (Table 3.1); PRs #20, #24, #28</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All Group</w:t>
            </w:r>
          </w:p>
        </w:tc>
      </w:tr>
      <w:tr>
        <w:tc>
          <w:tcPr>
            <w:tcW w:type="dxa" w:w="2556"/>
            <w:shd w:fill="F9FAFB"/>
            <w:tcMar>
              <w:top w:w="80" w:type="dxa"/>
              <w:bottom w:w="80" w:type="dxa"/>
              <w:left w:w="120" w:type="dxa"/>
              <w:right w:w="120" w:type="dxa"/>
            </w:tcMar>
          </w:tcPr>
          <w:p>
            <w:pPr>
              <w:spacing w:before="40" w:after="40" w:line="276" w:lineRule="auto"/>
            </w:pPr>
            <w:r>
              <w:rPr>
                <w:rFonts w:ascii="Calibri" w:hAnsi="Calibri"/>
                <w:b/>
                <w:color w:val="000000"/>
                <w:sz w:val="16"/>
              </w:rPr>
              <w:t>Live prototype with core module demo</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Worksheet Sec. 4; Report Ch. 6, p. 38</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Live App: digitalmohalla-web.onrender.com</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All Group</w:t>
            </w:r>
          </w:p>
        </w:tc>
      </w:tr>
      <w:tr>
        <w:tc>
          <w:tcPr>
            <w:tcW w:type="dxa" w:w="2556"/>
            <w:shd w:fill="FFFFFF"/>
            <w:tcMar>
              <w:top w:w="80" w:type="dxa"/>
              <w:bottom w:w="80" w:type="dxa"/>
              <w:left w:w="120" w:type="dxa"/>
              <w:right w:w="120" w:type="dxa"/>
            </w:tcMar>
          </w:tcPr>
          <w:p>
            <w:pPr>
              <w:spacing w:before="40" w:after="40" w:line="276" w:lineRule="auto"/>
            </w:pPr>
            <w:r>
              <w:rPr>
                <w:rFonts w:ascii="Calibri" w:hAnsi="Calibri"/>
                <w:b/>
                <w:color w:val="000000"/>
                <w:sz w:val="16"/>
              </w:rPr>
              <w:t>Requirements and acceptance criteria quality</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Worksheet Sec. 5; Report Ch. 4, p. 27</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Requirements Register (Table 4.1); FR-A, L, T, M</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Fatima Khursheed</w:t>
            </w:r>
          </w:p>
        </w:tc>
      </w:tr>
      <w:tr>
        <w:tc>
          <w:tcPr>
            <w:tcW w:type="dxa" w:w="2556"/>
            <w:shd w:fill="F9FAFB"/>
            <w:tcMar>
              <w:top w:w="80" w:type="dxa"/>
              <w:bottom w:w="80" w:type="dxa"/>
              <w:left w:w="120" w:type="dxa"/>
              <w:right w:w="120" w:type="dxa"/>
            </w:tcMar>
          </w:tcPr>
          <w:p>
            <w:pPr>
              <w:spacing w:before="40" w:after="40" w:line="276" w:lineRule="auto"/>
            </w:pPr>
            <w:r>
              <w:rPr>
                <w:rFonts w:ascii="Calibri" w:hAnsi="Calibri"/>
                <w:b/>
                <w:color w:val="000000"/>
                <w:sz w:val="16"/>
              </w:rPr>
              <w:t>Design artefacts and design evolution</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Worksheet Sec. 6; Report Ch. 5, pp. 29–37</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13 UML 2.5 diagrams in docs/design/; 8 ADRs</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Fatima Khursheed</w:t>
            </w:r>
          </w:p>
        </w:tc>
      </w:tr>
      <w:tr>
        <w:tc>
          <w:tcPr>
            <w:tcW w:type="dxa" w:w="2556"/>
            <w:shd w:fill="FFFFFF"/>
            <w:tcMar>
              <w:top w:w="80" w:type="dxa"/>
              <w:bottom w:w="80" w:type="dxa"/>
              <w:left w:w="120" w:type="dxa"/>
              <w:right w:w="120" w:type="dxa"/>
            </w:tcMar>
          </w:tcPr>
          <w:p>
            <w:pPr>
              <w:spacing w:before="40" w:after="40" w:line="276" w:lineRule="auto"/>
            </w:pPr>
            <w:r>
              <w:rPr>
                <w:rFonts w:ascii="Calibri" w:hAnsi="Calibri"/>
                <w:b/>
                <w:color w:val="000000"/>
                <w:sz w:val="16"/>
              </w:rPr>
              <w:t>Repository, milestone and member evidence</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Worksheet Sec. 7; Report Ch. 8, p. 48</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Commit 093a16f; PR #20–29; GitHub Kanban</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All Group</w:t>
            </w:r>
          </w:p>
        </w:tc>
      </w:tr>
      <w:tr>
        <w:tc>
          <w:tcPr>
            <w:tcW w:type="dxa" w:w="2556"/>
            <w:shd w:fill="F9FAFB"/>
            <w:tcMar>
              <w:top w:w="80" w:type="dxa"/>
              <w:bottom w:w="80" w:type="dxa"/>
              <w:left w:w="120" w:type="dxa"/>
              <w:right w:w="120" w:type="dxa"/>
            </w:tcMar>
          </w:tcPr>
          <w:p>
            <w:pPr>
              <w:spacing w:before="40" w:after="40" w:line="276" w:lineRule="auto"/>
            </w:pPr>
            <w:r>
              <w:rPr>
                <w:rFonts w:ascii="Calibri" w:hAnsi="Calibri"/>
                <w:b/>
                <w:color w:val="000000"/>
                <w:sz w:val="16"/>
              </w:rPr>
              <w:t>Testing and early validation</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Worksheet Sec. 8; Report Ch. 7, pp. 44–47</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390+ test results; test_concurrency.py (TC-08)</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All Group</w:t>
            </w:r>
          </w:p>
        </w:tc>
      </w:tr>
      <w:tr>
        <w:tc>
          <w:tcPr>
            <w:tcW w:type="dxa" w:w="2556"/>
            <w:shd w:fill="FFFFFF"/>
            <w:tcMar>
              <w:top w:w="80" w:type="dxa"/>
              <w:bottom w:w="80" w:type="dxa"/>
              <w:left w:w="120" w:type="dxa"/>
              <w:right w:w="120" w:type="dxa"/>
            </w:tcMar>
          </w:tcPr>
          <w:p>
            <w:pPr>
              <w:spacing w:before="40" w:after="40" w:line="276" w:lineRule="auto"/>
            </w:pPr>
            <w:r>
              <w:rPr>
                <w:rFonts w:ascii="Calibri" w:hAnsi="Calibri"/>
                <w:b/>
                <w:color w:val="000000"/>
                <w:sz w:val="16"/>
              </w:rPr>
              <w:t>Team dynamics and tool ownership</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Worksheet Sec. 10; Report Ch. 8, pp. 49–52</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docs/ai-usage-log.md; supervisory meeting logs</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All Group</w:t>
            </w:r>
          </w:p>
        </w:tc>
      </w:tr>
    </w:tbl>
    <w:p>
      <w:pPr>
        <w:pStyle w:val="Heading2"/>
        <w:keepNext/>
        <w:spacing w:before="240" w:after="80"/>
      </w:pPr>
      <w:r>
        <w:rPr>
          <w:rFonts w:ascii="Calibri" w:hAnsi="Calibri"/>
          <w:b/>
          <w:color w:val="111827"/>
          <w:sz w:val="24"/>
        </w:rPr>
        <w:t>Form 3 Evidence Index</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3168"/>
        <w:gridCol w:w="2160"/>
        <w:gridCol w:w="3168"/>
        <w:gridCol w:w="1584"/>
      </w:tblGrid>
      <w:tr>
        <w:tc>
          <w:tcPr>
            <w:tcW w:type="dxa" w:w="2556"/>
            <w:shd w:fill="1E3A8A"/>
            <w:tcMar>
              <w:top w:w="80" w:type="dxa"/>
              <w:bottom w:w="80" w:type="dxa"/>
              <w:left w:w="120" w:type="dxa"/>
              <w:right w:w="120" w:type="dxa"/>
            </w:tcMar>
          </w:tcPr>
          <w:p>
            <w:pPr>
              <w:spacing w:before="40" w:after="40" w:line="276" w:lineRule="auto"/>
            </w:pPr>
            <w:r>
              <w:rPr>
                <w:rFonts w:ascii="Calibri" w:hAnsi="Calibri"/>
                <w:b/>
                <w:color w:val="FFFFFF"/>
                <w:sz w:val="16"/>
              </w:rPr>
              <w:t>Official criterion</w:t>
            </w:r>
          </w:p>
        </w:tc>
        <w:tc>
          <w:tcPr>
            <w:tcW w:type="dxa" w:w="2556"/>
            <w:shd w:fill="1E3A8A"/>
            <w:tcMar>
              <w:top w:w="80" w:type="dxa"/>
              <w:bottom w:w="80" w:type="dxa"/>
              <w:left w:w="120" w:type="dxa"/>
              <w:right w:w="120" w:type="dxa"/>
            </w:tcMar>
          </w:tcPr>
          <w:p>
            <w:pPr>
              <w:spacing w:before="40" w:after="40" w:line="276" w:lineRule="auto"/>
            </w:pPr>
            <w:r>
              <w:rPr>
                <w:rFonts w:ascii="Calibri" w:hAnsi="Calibri"/>
                <w:b/>
                <w:color w:val="FFFFFF"/>
                <w:sz w:val="16"/>
              </w:rPr>
              <w:t>Where addressed</w:t>
            </w:r>
          </w:p>
        </w:tc>
        <w:tc>
          <w:tcPr>
            <w:tcW w:type="dxa" w:w="2556"/>
            <w:shd w:fill="1E3A8A"/>
            <w:tcMar>
              <w:top w:w="80" w:type="dxa"/>
              <w:bottom w:w="80" w:type="dxa"/>
              <w:left w:w="120" w:type="dxa"/>
              <w:right w:w="120" w:type="dxa"/>
            </w:tcMar>
          </w:tcPr>
          <w:p>
            <w:pPr>
              <w:spacing w:before="40" w:after="40" w:line="276" w:lineRule="auto"/>
            </w:pPr>
            <w:r>
              <w:rPr>
                <w:rFonts w:ascii="Calibri" w:hAnsi="Calibri"/>
                <w:b/>
                <w:color w:val="FFFFFF"/>
                <w:sz w:val="16"/>
              </w:rPr>
              <w:t>Primary evidence</w:t>
            </w:r>
          </w:p>
        </w:tc>
        <w:tc>
          <w:tcPr>
            <w:tcW w:type="dxa" w:w="2556"/>
            <w:shd w:fill="1E3A8A"/>
            <w:tcMar>
              <w:top w:w="80" w:type="dxa"/>
              <w:bottom w:w="80" w:type="dxa"/>
              <w:left w:w="120" w:type="dxa"/>
              <w:right w:w="120" w:type="dxa"/>
            </w:tcMar>
          </w:tcPr>
          <w:p>
            <w:pPr>
              <w:spacing w:before="40" w:after="40" w:line="276" w:lineRule="auto"/>
            </w:pPr>
            <w:r>
              <w:rPr>
                <w:rFonts w:ascii="Calibri" w:hAnsi="Calibri"/>
                <w:b/>
                <w:color w:val="FFFFFF"/>
                <w:sz w:val="16"/>
              </w:rPr>
              <w:t>Owner</w:t>
            </w:r>
          </w:p>
        </w:tc>
      </w:tr>
      <w:tr>
        <w:tc>
          <w:tcPr>
            <w:tcW w:type="dxa" w:w="2556"/>
            <w:shd w:fill="F9FAFB"/>
            <w:tcMar>
              <w:top w:w="80" w:type="dxa"/>
              <w:bottom w:w="80" w:type="dxa"/>
              <w:left w:w="120" w:type="dxa"/>
              <w:right w:w="120" w:type="dxa"/>
            </w:tcMar>
          </w:tcPr>
          <w:p>
            <w:pPr>
              <w:spacing w:before="40" w:after="40" w:line="276" w:lineRule="auto"/>
            </w:pPr>
            <w:r>
              <w:rPr>
                <w:rFonts w:ascii="Calibri" w:hAnsi="Calibri"/>
                <w:b/>
                <w:color w:val="000000"/>
                <w:sz w:val="16"/>
              </w:rPr>
              <w:t>Report format and required artefacts present</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Report Front Matter, Chapters 1–10</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DigitalMohalla_FYP1_Mid_Report.pdf (60 pages)</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All Group</w:t>
            </w:r>
          </w:p>
        </w:tc>
      </w:tr>
      <w:tr>
        <w:tc>
          <w:tcPr>
            <w:tcW w:type="dxa" w:w="2556"/>
            <w:shd w:fill="FFFFFF"/>
            <w:tcMar>
              <w:top w:w="80" w:type="dxa"/>
              <w:bottom w:w="80" w:type="dxa"/>
              <w:left w:w="120" w:type="dxa"/>
              <w:right w:w="120" w:type="dxa"/>
            </w:tcMar>
          </w:tcPr>
          <w:p>
            <w:pPr>
              <w:spacing w:before="40" w:after="40" w:line="276" w:lineRule="auto"/>
            </w:pPr>
            <w:r>
              <w:rPr>
                <w:rFonts w:ascii="Calibri" w:hAnsi="Calibri"/>
                <w:b/>
                <w:color w:val="000000"/>
                <w:sz w:val="16"/>
              </w:rPr>
              <w:t>Problem formulation, R&amp;D and existing solution analysis</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Report Chapter 2, pp. 11–18</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Comparative Literature Matrix (Table 2.1)</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Areeba Javed</w:t>
            </w:r>
          </w:p>
        </w:tc>
      </w:tr>
      <w:tr>
        <w:tc>
          <w:tcPr>
            <w:tcW w:type="dxa" w:w="2556"/>
            <w:shd w:fill="F9FAFB"/>
            <w:tcMar>
              <w:top w:w="80" w:type="dxa"/>
              <w:bottom w:w="80" w:type="dxa"/>
              <w:left w:w="120" w:type="dxa"/>
              <w:right w:w="120" w:type="dxa"/>
            </w:tcMar>
          </w:tcPr>
          <w:p>
            <w:pPr>
              <w:spacing w:before="40" w:after="40" w:line="276" w:lineRule="auto"/>
            </w:pPr>
            <w:r>
              <w:rPr>
                <w:rFonts w:ascii="Calibri" w:hAnsi="Calibri"/>
                <w:b/>
                <w:color w:val="000000"/>
                <w:sz w:val="16"/>
              </w:rPr>
              <w:t>Project vision, scope, modules and success criteria</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Report Chapters 1 &amp; 3, pp. 7–10, 19–24</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Module Ownership &amp; Success Metrics</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All Group</w:t>
            </w:r>
          </w:p>
        </w:tc>
      </w:tr>
      <w:tr>
        <w:tc>
          <w:tcPr>
            <w:tcW w:type="dxa" w:w="2556"/>
            <w:shd w:fill="FFFFFF"/>
            <w:tcMar>
              <w:top w:w="80" w:type="dxa"/>
              <w:bottom w:w="80" w:type="dxa"/>
              <w:left w:w="120" w:type="dxa"/>
              <w:right w:w="120" w:type="dxa"/>
            </w:tcMar>
          </w:tcPr>
          <w:p>
            <w:pPr>
              <w:spacing w:before="40" w:after="40" w:line="276" w:lineRule="auto"/>
            </w:pPr>
            <w:r>
              <w:rPr>
                <w:rFonts w:ascii="Calibri" w:hAnsi="Calibri"/>
                <w:b/>
                <w:color w:val="000000"/>
                <w:sz w:val="16"/>
              </w:rPr>
              <w:t>Requirements and acceptance criteria</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Report Chapter 4 &amp; App. B, pp. 25–28, 55</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Requirements Register (Table 4.1); FR-A, L, T, M</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Fatima Khursheed</w:t>
            </w:r>
          </w:p>
        </w:tc>
      </w:tr>
      <w:tr>
        <w:tc>
          <w:tcPr>
            <w:tcW w:type="dxa" w:w="2556"/>
            <w:shd w:fill="F9FAFB"/>
            <w:tcMar>
              <w:top w:w="80" w:type="dxa"/>
              <w:bottom w:w="80" w:type="dxa"/>
              <w:left w:w="120" w:type="dxa"/>
              <w:right w:w="120" w:type="dxa"/>
            </w:tcMar>
          </w:tcPr>
          <w:p>
            <w:pPr>
              <w:spacing w:before="40" w:after="40" w:line="276" w:lineRule="auto"/>
            </w:pPr>
            <w:r>
              <w:rPr>
                <w:rFonts w:ascii="Calibri" w:hAnsi="Calibri"/>
                <w:b/>
                <w:color w:val="000000"/>
                <w:sz w:val="16"/>
              </w:rPr>
              <w:t>Architecture and component/interface design</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Report Chapter 5, pp. 29–33</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Clean Architecture 5-layer Stack; ADRs</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Fatima Khursheed</w:t>
            </w:r>
          </w:p>
        </w:tc>
      </w:tr>
      <w:tr>
        <w:tc>
          <w:tcPr>
            <w:tcW w:type="dxa" w:w="2556"/>
            <w:shd w:fill="FFFFFF"/>
            <w:tcMar>
              <w:top w:w="80" w:type="dxa"/>
              <w:bottom w:w="80" w:type="dxa"/>
              <w:left w:w="120" w:type="dxa"/>
              <w:right w:w="120" w:type="dxa"/>
            </w:tcMar>
          </w:tcPr>
          <w:p>
            <w:pPr>
              <w:spacing w:before="40" w:after="40" w:line="276" w:lineRule="auto"/>
            </w:pPr>
            <w:r>
              <w:rPr>
                <w:rFonts w:ascii="Calibri" w:hAnsi="Calibri"/>
                <w:b/>
                <w:color w:val="000000"/>
                <w:sz w:val="16"/>
              </w:rPr>
              <w:t>Data / process / behavior design</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Report Chapter 5 &amp; App. E, pp. 33–37, 57</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ERD v2.3; Lifecycle State Machine; DFD L0</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Fatima Khursheed</w:t>
            </w:r>
          </w:p>
        </w:tc>
      </w:tr>
      <w:tr>
        <w:tc>
          <w:tcPr>
            <w:tcW w:type="dxa" w:w="2556"/>
            <w:shd w:fill="F9FAFB"/>
            <w:tcMar>
              <w:top w:w="80" w:type="dxa"/>
              <w:bottom w:w="80" w:type="dxa"/>
              <w:left w:w="120" w:type="dxa"/>
              <w:right w:w="120" w:type="dxa"/>
            </w:tcMar>
          </w:tcPr>
          <w:p>
            <w:pPr>
              <w:spacing w:before="40" w:after="40" w:line="276" w:lineRule="auto"/>
            </w:pPr>
            <w:r>
              <w:rPr>
                <w:rFonts w:ascii="Calibri" w:hAnsi="Calibri"/>
                <w:b/>
                <w:color w:val="000000"/>
                <w:sz w:val="16"/>
              </w:rPr>
              <w:t>Implementation documentation of completed module</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Report Chapter 6, pp. 38–43</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Setup instructions; classes; mathematical code</w:t>
            </w:r>
          </w:p>
        </w:tc>
        <w:tc>
          <w:tcPr>
            <w:tcW w:type="dxa" w:w="2556"/>
            <w:shd w:fill="F9FAFB"/>
            <w:tcMar>
              <w:top w:w="80" w:type="dxa"/>
              <w:bottom w:w="80" w:type="dxa"/>
              <w:left w:w="120" w:type="dxa"/>
              <w:right w:w="120" w:type="dxa"/>
            </w:tcMar>
          </w:tcPr>
          <w:p>
            <w:pPr>
              <w:spacing w:before="40" w:after="40" w:line="276" w:lineRule="auto"/>
            </w:pPr>
            <w:r>
              <w:rPr>
                <w:rFonts w:ascii="Calibri" w:hAnsi="Calibri"/>
                <w:b w:val="0"/>
                <w:color w:val="000000"/>
                <w:sz w:val="16"/>
              </w:rPr>
              <w:t>All Group</w:t>
            </w:r>
          </w:p>
        </w:tc>
      </w:tr>
      <w:tr>
        <w:tc>
          <w:tcPr>
            <w:tcW w:type="dxa" w:w="2556"/>
            <w:shd w:fill="FFFFFF"/>
            <w:tcMar>
              <w:top w:w="80" w:type="dxa"/>
              <w:bottom w:w="80" w:type="dxa"/>
              <w:left w:w="120" w:type="dxa"/>
              <w:right w:w="120" w:type="dxa"/>
            </w:tcMar>
          </w:tcPr>
          <w:p>
            <w:pPr>
              <w:spacing w:before="40" w:after="40" w:line="276" w:lineRule="auto"/>
            </w:pPr>
            <w:r>
              <w:rPr>
                <w:rFonts w:ascii="Calibri" w:hAnsi="Calibri"/>
                <w:b/>
                <w:color w:val="000000"/>
                <w:sz w:val="16"/>
              </w:rPr>
              <w:t>Testing/validation plan and tool/risk disclosure</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Report Chapters 7 &amp; 8, pp. 44–52</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390+ test results; Form 13 dependency registry</w:t>
            </w:r>
          </w:p>
        </w:tc>
        <w:tc>
          <w:tcPr>
            <w:tcW w:type="dxa" w:w="2556"/>
            <w:shd w:fill="FFFFFF"/>
            <w:tcMar>
              <w:top w:w="80" w:type="dxa"/>
              <w:bottom w:w="80" w:type="dxa"/>
              <w:left w:w="120" w:type="dxa"/>
              <w:right w:w="120" w:type="dxa"/>
            </w:tcMar>
          </w:tcPr>
          <w:p>
            <w:pPr>
              <w:spacing w:before="40" w:after="40" w:line="276" w:lineRule="auto"/>
            </w:pPr>
            <w:r>
              <w:rPr>
                <w:rFonts w:ascii="Calibri" w:hAnsi="Calibri"/>
                <w:b w:val="0"/>
                <w:color w:val="000000"/>
                <w:sz w:val="16"/>
              </w:rPr>
              <w:t>All Group</w:t>
            </w:r>
          </w:p>
        </w:tc>
      </w:tr>
    </w:tbl>
    <w:p>
      <w:pPr>
        <w:pStyle w:val="Heading2"/>
        <w:keepNext/>
        <w:spacing w:before="240" w:after="80"/>
      </w:pPr>
      <w:r>
        <w:rPr>
          <w:rFonts w:ascii="Calibri" w:hAnsi="Calibri"/>
          <w:b/>
          <w:color w:val="111827"/>
          <w:sz w:val="24"/>
        </w:rPr>
        <w:t>Group confirmation checklist</w:t>
      </w:r>
    </w:p>
    <w:tbl>
      <w:tblPr>
        <w:tblW w:type="auto" w:w="0"/>
        <w:tblLook w:firstColumn="1" w:firstRow="1" w:lastColumn="0" w:lastRow="0" w:noHBand="0" w:noVBand="1" w:val="04A0"/>
        <w:tblBorders>
          <w:top w:val="single" w:sz="4" w:space="0" w:color="E5E7EB"/>
          <w:bottom w:val="single" w:sz="4" w:space="0" w:color="E5E7EB"/>
          <w:insideH w:val="single" w:sz="4" w:space="0" w:color="E5E7EB"/>
          <w:insideV w:val="single" w:sz="4" w:space="0" w:color="E5E7EB"/>
          <w:left w:val="none"/>
          <w:right w:val="none"/>
        </w:tblBorders>
      </w:tblPr>
      <w:tblGrid>
        <w:gridCol w:w="10224"/>
      </w:tblGrid>
      <w:tr>
        <w:tc>
          <w:tcPr>
            <w:tcW w:type="dxa" w:w="10224"/>
            <w:shd w:fill="F9FAFB"/>
            <w:tcMar>
              <w:top w:w="80" w:type="dxa"/>
              <w:bottom w:w="80" w:type="dxa"/>
              <w:left w:w="120" w:type="dxa"/>
              <w:right w:w="120" w:type="dxa"/>
            </w:tcMar>
          </w:tcPr>
          <w:p>
            <w:pPr>
              <w:spacing w:before="40" w:after="40" w:line="276" w:lineRule="auto"/>
            </w:pPr>
            <w:r>
              <w:rPr>
                <w:rFonts w:ascii="Calibri" w:hAnsi="Calibri"/>
                <w:b w:val="0"/>
                <w:color w:val="000000"/>
                <w:sz w:val="17"/>
              </w:rPr>
              <w:t>☒ The live prototype is available and uses the stated evaluation version (093a16f / v0.2.0-mid-freeze).</w:t>
            </w:r>
          </w:p>
        </w:tc>
      </w:tr>
      <w:tr>
        <w:tc>
          <w:tcPr>
            <w:tcW w:type="dxa" w:w="10224"/>
            <w:shd w:fill="FFFFFF"/>
            <w:tcMar>
              <w:top w:w="80" w:type="dxa"/>
              <w:bottom w:w="80" w:type="dxa"/>
              <w:left w:w="120" w:type="dxa"/>
              <w:right w:w="120" w:type="dxa"/>
            </w:tcMar>
          </w:tcPr>
          <w:p>
            <w:pPr>
              <w:spacing w:before="40" w:after="40" w:line="276" w:lineRule="auto"/>
            </w:pPr>
            <w:r>
              <w:rPr>
                <w:rFonts w:ascii="Calibri" w:hAnsi="Calibri"/>
                <w:b w:val="0"/>
                <w:color w:val="000000"/>
                <w:sz w:val="17"/>
              </w:rPr>
              <w:t>☒ Every proposal action is recorded, including incomplete actions (all 6 proposal directives resolved).</w:t>
            </w:r>
          </w:p>
        </w:tc>
      </w:tr>
      <w:tr>
        <w:tc>
          <w:tcPr>
            <w:tcW w:type="dxa" w:w="10224"/>
            <w:shd w:fill="F9FAFB"/>
            <w:tcMar>
              <w:top w:w="80" w:type="dxa"/>
              <w:bottom w:w="80" w:type="dxa"/>
              <w:left w:w="120" w:type="dxa"/>
              <w:right w:w="120" w:type="dxa"/>
            </w:tcMar>
          </w:tcPr>
          <w:p>
            <w:pPr>
              <w:spacing w:before="40" w:after="40" w:line="276" w:lineRule="auto"/>
            </w:pPr>
            <w:r>
              <w:rPr>
                <w:rFonts w:ascii="Calibri" w:hAnsi="Calibri"/>
                <w:b w:val="0"/>
                <w:color w:val="000000"/>
                <w:sz w:val="17"/>
              </w:rPr>
              <w:t>☒ The mid report and worksheet match the repository and current design precisely.</w:t>
            </w:r>
          </w:p>
        </w:tc>
      </w:tr>
      <w:tr>
        <w:tc>
          <w:tcPr>
            <w:tcW w:type="dxa" w:w="10224"/>
            <w:shd w:fill="FFFFFF"/>
            <w:tcMar>
              <w:top w:w="80" w:type="dxa"/>
              <w:bottom w:w="80" w:type="dxa"/>
              <w:left w:w="120" w:type="dxa"/>
              <w:right w:w="120" w:type="dxa"/>
            </w:tcMar>
          </w:tcPr>
          <w:p>
            <w:pPr>
              <w:spacing w:before="40" w:after="40" w:line="276" w:lineRule="auto"/>
            </w:pPr>
            <w:r>
              <w:rPr>
                <w:rFonts w:ascii="Calibri" w:hAnsi="Calibri"/>
                <w:b w:val="0"/>
                <w:color w:val="000000"/>
                <w:sz w:val="17"/>
              </w:rPr>
              <w:t>☒ Acceptance criteria are measurable and traceable to automated tests and observable evidence.</w:t>
            </w:r>
          </w:p>
        </w:tc>
      </w:tr>
      <w:tr>
        <w:tc>
          <w:tcPr>
            <w:tcW w:type="dxa" w:w="10224"/>
            <w:shd w:fill="F9FAFB"/>
            <w:tcMar>
              <w:top w:w="80" w:type="dxa"/>
              <w:bottom w:w="80" w:type="dxa"/>
              <w:left w:w="120" w:type="dxa"/>
              <w:right w:w="120" w:type="dxa"/>
            </w:tcMar>
          </w:tcPr>
          <w:p>
            <w:pPr>
              <w:spacing w:before="40" w:after="40" w:line="276" w:lineRule="auto"/>
            </w:pPr>
            <w:r>
              <w:rPr>
                <w:rFonts w:ascii="Calibri" w:hAnsi="Calibri"/>
                <w:b w:val="0"/>
                <w:color w:val="000000"/>
                <w:sz w:val="17"/>
              </w:rPr>
              <w:t>☒ At least one edge or failure case is ready for live discussion (PostgreSQL concurrency collision drill).</w:t>
            </w:r>
          </w:p>
        </w:tc>
      </w:tr>
      <w:tr>
        <w:tc>
          <w:tcPr>
            <w:tcW w:type="dxa" w:w="10224"/>
            <w:shd w:fill="FFFFFF"/>
            <w:tcMar>
              <w:top w:w="80" w:type="dxa"/>
              <w:bottom w:w="80" w:type="dxa"/>
              <w:left w:w="120" w:type="dxa"/>
              <w:right w:w="120" w:type="dxa"/>
            </w:tcMar>
          </w:tcPr>
          <w:p>
            <w:pPr>
              <w:spacing w:before="40" w:after="40" w:line="276" w:lineRule="auto"/>
            </w:pPr>
            <w:r>
              <w:rPr>
                <w:rFonts w:ascii="Calibri" w:hAnsi="Calibri"/>
                <w:b w:val="0"/>
                <w:color w:val="000000"/>
                <w:sz w:val="17"/>
              </w:rPr>
              <w:t>☒ Member ownership is supported by more than commit counts (distinct module ownership across S1, S2, S3).</w:t>
            </w:r>
          </w:p>
        </w:tc>
      </w:tr>
      <w:tr>
        <w:tc>
          <w:tcPr>
            <w:tcW w:type="dxa" w:w="10224"/>
            <w:shd w:fill="F9FAFB"/>
            <w:tcMar>
              <w:top w:w="80" w:type="dxa"/>
              <w:bottom w:w="80" w:type="dxa"/>
              <w:left w:w="120" w:type="dxa"/>
              <w:right w:w="120" w:type="dxa"/>
            </w:tcMar>
          </w:tcPr>
          <w:p>
            <w:pPr>
              <w:spacing w:before="40" w:after="40" w:line="276" w:lineRule="auto"/>
            </w:pPr>
            <w:r>
              <w:rPr>
                <w:rFonts w:ascii="Calibri" w:hAnsi="Calibri"/>
                <w:b w:val="0"/>
                <w:color w:val="000000"/>
                <w:sz w:val="17"/>
              </w:rPr>
              <w:t>☒ External dependencies, tools, risks and limitations are disclosed honestly (Slice C in progress noted).</w:t>
            </w:r>
          </w:p>
        </w:tc>
      </w:tr>
      <w:tr>
        <w:tc>
          <w:tcPr>
            <w:tcW w:type="dxa" w:w="10224"/>
            <w:shd w:fill="FFFFFF"/>
            <w:tcMar>
              <w:top w:w="80" w:type="dxa"/>
              <w:bottom w:w="80" w:type="dxa"/>
              <w:left w:w="120" w:type="dxa"/>
              <w:right w:w="120" w:type="dxa"/>
            </w:tcMar>
          </w:tcPr>
          <w:p>
            <w:pPr>
              <w:spacing w:before="40" w:after="40" w:line="276" w:lineRule="auto"/>
            </w:pPr>
            <w:r>
              <w:rPr>
                <w:rFonts w:ascii="Calibri" w:hAnsi="Calibri"/>
                <w:b w:val="0"/>
                <w:color w:val="000000"/>
                <w:sz w:val="17"/>
              </w:rPr>
              <w:t>☒ Each member is prepared to defend and modify their claimed work live during the evaluation meeting.</w:t>
            </w:r>
          </w:p>
        </w:tc>
      </w:tr>
    </w:tbl>
    <w:p>
      <w:pPr>
        <w:pStyle w:val="Heading2"/>
        <w:keepNext/>
        <w:spacing w:before="240" w:after="80"/>
      </w:pPr>
      <w:r>
        <w:rPr>
          <w:rFonts w:ascii="Calibri" w:hAnsi="Calibri"/>
          <w:b/>
          <w:color w:val="111827"/>
          <w:sz w:val="24"/>
        </w:rPr>
        <w:t>Group signature block</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592"/>
        <w:gridCol w:w="5184"/>
        <w:gridCol w:w="2304"/>
      </w:tblGrid>
      <w:tr>
        <w:tc>
          <w:tcPr>
            <w:tcW w:type="dxa" w:w="3408"/>
            <w:shd w:fill="1E3A8A"/>
            <w:tcMar>
              <w:top w:w="80" w:type="dxa"/>
              <w:bottom w:w="80" w:type="dxa"/>
              <w:left w:w="120" w:type="dxa"/>
              <w:right w:w="120" w:type="dxa"/>
            </w:tcMar>
          </w:tcPr>
          <w:p>
            <w:pPr>
              <w:spacing w:before="40" w:after="40" w:line="276" w:lineRule="auto"/>
            </w:pPr>
            <w:r>
              <w:rPr>
                <w:rFonts w:ascii="Calibri" w:hAnsi="Calibri"/>
                <w:b/>
                <w:color w:val="FFFFFF"/>
                <w:sz w:val="17"/>
              </w:rPr>
              <w:t>Role</w:t>
            </w:r>
          </w:p>
        </w:tc>
        <w:tc>
          <w:tcPr>
            <w:tcW w:type="dxa" w:w="3408"/>
            <w:shd w:fill="1E3A8A"/>
            <w:tcMar>
              <w:top w:w="80" w:type="dxa"/>
              <w:bottom w:w="80" w:type="dxa"/>
              <w:left w:w="120" w:type="dxa"/>
              <w:right w:w="120" w:type="dxa"/>
            </w:tcMar>
          </w:tcPr>
          <w:p>
            <w:pPr>
              <w:spacing w:before="40" w:after="40" w:line="276" w:lineRule="auto"/>
            </w:pPr>
            <w:r>
              <w:rPr>
                <w:rFonts w:ascii="Calibri" w:hAnsi="Calibri"/>
                <w:b/>
                <w:color w:val="FFFFFF"/>
                <w:sz w:val="17"/>
              </w:rPr>
              <w:t>Confirmation</w:t>
            </w:r>
          </w:p>
        </w:tc>
        <w:tc>
          <w:tcPr>
            <w:tcW w:type="dxa" w:w="3408"/>
            <w:shd w:fill="1E3A8A"/>
            <w:tcMar>
              <w:top w:w="80" w:type="dxa"/>
              <w:bottom w:w="80" w:type="dxa"/>
              <w:left w:w="120" w:type="dxa"/>
              <w:right w:w="120" w:type="dxa"/>
            </w:tcMar>
          </w:tcPr>
          <w:p>
            <w:pPr>
              <w:spacing w:before="40" w:after="40" w:line="276" w:lineRule="auto"/>
            </w:pPr>
            <w:r>
              <w:rPr>
                <w:rFonts w:ascii="Calibri" w:hAnsi="Calibri"/>
                <w:b/>
                <w:color w:val="FFFFFF"/>
                <w:sz w:val="17"/>
              </w:rPr>
              <w:t>Date</w:t>
            </w:r>
          </w:p>
        </w:tc>
      </w:tr>
      <w:tr>
        <w:tc>
          <w:tcPr>
            <w:tcW w:type="dxa" w:w="3408"/>
            <w:shd w:fill="F9FAFB"/>
            <w:tcMar>
              <w:top w:w="80" w:type="dxa"/>
              <w:bottom w:w="80" w:type="dxa"/>
              <w:left w:w="120" w:type="dxa"/>
              <w:right w:w="120" w:type="dxa"/>
            </w:tcMar>
          </w:tcPr>
          <w:p>
            <w:pPr>
              <w:spacing w:before="40" w:after="40" w:line="276" w:lineRule="auto"/>
            </w:pPr>
            <w:r>
              <w:rPr>
                <w:rFonts w:ascii="Calibri" w:hAnsi="Calibri"/>
                <w:b/>
                <w:color w:val="000000"/>
                <w:sz w:val="17"/>
              </w:rPr>
              <w:t>Member 1 (S1: Lifecycle &amp; Event Store)</w:t>
            </w:r>
          </w:p>
        </w:tc>
        <w:tc>
          <w:tcPr>
            <w:tcW w:type="dxa" w:w="3408"/>
            <w:shd w:fill="F9FAFB"/>
            <w:tcMar>
              <w:top w:w="80" w:type="dxa"/>
              <w:bottom w:w="80" w:type="dxa"/>
              <w:left w:w="120" w:type="dxa"/>
              <w:right w:w="120" w:type="dxa"/>
            </w:tcMar>
          </w:tcPr>
          <w:p>
            <w:pPr>
              <w:spacing w:before="40" w:after="40" w:line="276" w:lineRule="auto"/>
            </w:pPr>
            <w:r>
              <w:rPr>
                <w:rFonts w:ascii="Calibri" w:hAnsi="Calibri"/>
                <w:b w:val="0"/>
                <w:color w:val="000000"/>
                <w:sz w:val="17"/>
              </w:rPr>
              <w:t>Fatima Khursheed (23i-0746) — Confirmed</w:t>
            </w:r>
          </w:p>
        </w:tc>
        <w:tc>
          <w:tcPr>
            <w:tcW w:type="dxa" w:w="3408"/>
            <w:shd w:fill="F9FAFB"/>
            <w:tcMar>
              <w:top w:w="80" w:type="dxa"/>
              <w:bottom w:w="80" w:type="dxa"/>
              <w:left w:w="120" w:type="dxa"/>
              <w:right w:w="120" w:type="dxa"/>
            </w:tcMar>
          </w:tcPr>
          <w:p>
            <w:pPr>
              <w:spacing w:before="40" w:after="40" w:line="276" w:lineRule="auto"/>
            </w:pPr>
            <w:r>
              <w:rPr>
                <w:rFonts w:ascii="Calibri" w:hAnsi="Calibri"/>
                <w:b w:val="0"/>
                <w:color w:val="000000"/>
                <w:sz w:val="17"/>
              </w:rPr>
              <w:t>October 13, 2026</w:t>
            </w:r>
          </w:p>
        </w:tc>
      </w:tr>
      <w:tr>
        <w:tc>
          <w:tcPr>
            <w:tcW w:type="dxa" w:w="3408"/>
            <w:shd w:fill="FFFFFF"/>
            <w:tcMar>
              <w:top w:w="80" w:type="dxa"/>
              <w:bottom w:w="80" w:type="dxa"/>
              <w:left w:w="120" w:type="dxa"/>
              <w:right w:w="120" w:type="dxa"/>
            </w:tcMar>
          </w:tcPr>
          <w:p>
            <w:pPr>
              <w:spacing w:before="40" w:after="40" w:line="276" w:lineRule="auto"/>
            </w:pPr>
            <w:r>
              <w:rPr>
                <w:rFonts w:ascii="Calibri" w:hAnsi="Calibri"/>
                <w:b/>
                <w:color w:val="000000"/>
                <w:sz w:val="17"/>
              </w:rPr>
              <w:t>Member 2 (S2: Assurance Engine)</w:t>
            </w:r>
          </w:p>
        </w:tc>
        <w:tc>
          <w:tcPr>
            <w:tcW w:type="dxa" w:w="3408"/>
            <w:shd w:fill="FFFFFF"/>
            <w:tcMar>
              <w:top w:w="80" w:type="dxa"/>
              <w:bottom w:w="80" w:type="dxa"/>
              <w:left w:w="120" w:type="dxa"/>
              <w:right w:w="120" w:type="dxa"/>
            </w:tcMar>
          </w:tcPr>
          <w:p>
            <w:pPr>
              <w:spacing w:before="40" w:after="40" w:line="276" w:lineRule="auto"/>
            </w:pPr>
            <w:r>
              <w:rPr>
                <w:rFonts w:ascii="Calibri" w:hAnsi="Calibri"/>
                <w:b w:val="0"/>
                <w:color w:val="000000"/>
                <w:sz w:val="17"/>
              </w:rPr>
              <w:t>Areeba Javed (23i-0570) — Confirmed</w:t>
            </w:r>
          </w:p>
        </w:tc>
        <w:tc>
          <w:tcPr>
            <w:tcW w:type="dxa" w:w="3408"/>
            <w:shd w:fill="FFFFFF"/>
            <w:tcMar>
              <w:top w:w="80" w:type="dxa"/>
              <w:bottom w:w="80" w:type="dxa"/>
              <w:left w:w="120" w:type="dxa"/>
              <w:right w:w="120" w:type="dxa"/>
            </w:tcMar>
          </w:tcPr>
          <w:p>
            <w:pPr>
              <w:spacing w:before="40" w:after="40" w:line="276" w:lineRule="auto"/>
            </w:pPr>
            <w:r>
              <w:rPr>
                <w:rFonts w:ascii="Calibri" w:hAnsi="Calibri"/>
                <w:b w:val="0"/>
                <w:color w:val="000000"/>
                <w:sz w:val="17"/>
              </w:rPr>
              <w:t>October 13, 2026</w:t>
            </w:r>
          </w:p>
        </w:tc>
      </w:tr>
      <w:tr>
        <w:tc>
          <w:tcPr>
            <w:tcW w:type="dxa" w:w="3408"/>
            <w:shd w:fill="F9FAFB"/>
            <w:tcMar>
              <w:top w:w="80" w:type="dxa"/>
              <w:bottom w:w="80" w:type="dxa"/>
              <w:left w:w="120" w:type="dxa"/>
              <w:right w:w="120" w:type="dxa"/>
            </w:tcMar>
          </w:tcPr>
          <w:p>
            <w:pPr>
              <w:spacing w:before="40" w:after="40" w:line="276" w:lineRule="auto"/>
            </w:pPr>
            <w:r>
              <w:rPr>
                <w:rFonts w:ascii="Calibri" w:hAnsi="Calibri"/>
                <w:b/>
                <w:color w:val="000000"/>
                <w:sz w:val="17"/>
              </w:rPr>
              <w:t>Member 3 (S3: Presentation UI &amp; CD)</w:t>
            </w:r>
          </w:p>
        </w:tc>
        <w:tc>
          <w:tcPr>
            <w:tcW w:type="dxa" w:w="3408"/>
            <w:shd w:fill="F9FAFB"/>
            <w:tcMar>
              <w:top w:w="80" w:type="dxa"/>
              <w:bottom w:w="80" w:type="dxa"/>
              <w:left w:w="120" w:type="dxa"/>
              <w:right w:w="120" w:type="dxa"/>
            </w:tcMar>
          </w:tcPr>
          <w:p>
            <w:pPr>
              <w:spacing w:before="40" w:after="40" w:line="276" w:lineRule="auto"/>
            </w:pPr>
            <w:r>
              <w:rPr>
                <w:rFonts w:ascii="Calibri" w:hAnsi="Calibri"/>
                <w:b w:val="0"/>
                <w:color w:val="000000"/>
                <w:sz w:val="17"/>
              </w:rPr>
              <w:t>Minahil Kashif (23i-0554) — Confirmed</w:t>
            </w:r>
          </w:p>
        </w:tc>
        <w:tc>
          <w:tcPr>
            <w:tcW w:type="dxa" w:w="3408"/>
            <w:shd w:fill="F9FAFB"/>
            <w:tcMar>
              <w:top w:w="80" w:type="dxa"/>
              <w:bottom w:w="80" w:type="dxa"/>
              <w:left w:w="120" w:type="dxa"/>
              <w:right w:w="120" w:type="dxa"/>
            </w:tcMar>
          </w:tcPr>
          <w:p>
            <w:pPr>
              <w:spacing w:before="40" w:after="40" w:line="276" w:lineRule="auto"/>
            </w:pPr>
            <w:r>
              <w:rPr>
                <w:rFonts w:ascii="Calibri" w:hAnsi="Calibri"/>
                <w:b w:val="0"/>
                <w:color w:val="000000"/>
                <w:sz w:val="17"/>
              </w:rPr>
              <w:t>October 13, 2026</w:t>
            </w:r>
          </w:p>
        </w:tc>
      </w:tr>
    </w:tbl>
    <w:sectPr w:rsidR="00FC693F" w:rsidRPr="0006063C" w:rsidSect="00034616">
      <w:head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CA3AF"/>
        <w:sz w:val="17"/>
      </w:rPr>
      <w:t>FYP 1 Mid Student Evidence Worksheet | FAST School of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