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0"/>
        <w:rPr>
          <w:sz w:val="28"/>
        </w:rPr>
      </w:pPr>
    </w:p>
    <w:p>
      <w:pPr>
        <w:pStyle w:val="Heading1"/>
      </w:pPr>
      <w:r>
        <w:rPr>
          <w:spacing w:val="-2"/>
        </w:rPr>
        <w:t>Bibliography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14"/>
        <w:rPr>
          <w:b/>
          <w:sz w:val="28"/>
        </w:rPr>
      </w:pPr>
    </w:p>
    <w:p>
      <w:pPr>
        <w:pStyle w:val="BodyText"/>
        <w:spacing w:line="520" w:lineRule="auto"/>
        <w:ind w:left="3911" w:right="3911"/>
        <w:jc w:val="center"/>
      </w:pPr>
      <w:r>
        <w:rPr/>
        <w:t>Bhavita</w:t>
      </w:r>
      <w:r>
        <w:rPr>
          <w:spacing w:val="-15"/>
        </w:rPr>
        <w:t> </w:t>
      </w:r>
      <w:r>
        <w:rPr/>
        <w:t>(TCT-</w:t>
      </w:r>
      <w:r>
        <w:rPr/>
        <w:t>007) Rani (TCT-024)</w:t>
      </w:r>
    </w:p>
    <w:p>
      <w:pPr>
        <w:pStyle w:val="BodyText"/>
        <w:spacing w:line="230" w:lineRule="exact"/>
        <w:ind w:right="1"/>
        <w:jc w:val="center"/>
      </w:pPr>
      <w:r>
        <w:rPr/>
        <w:t>Wazir</w:t>
      </w:r>
      <w:r>
        <w:rPr>
          <w:spacing w:val="-2"/>
        </w:rPr>
        <w:t> </w:t>
      </w:r>
      <w:r>
        <w:rPr/>
        <w:t>Muzammil</w:t>
      </w:r>
      <w:r>
        <w:rPr>
          <w:spacing w:val="-2"/>
        </w:rPr>
        <w:t> </w:t>
      </w:r>
      <w:r>
        <w:rPr/>
        <w:t>Hussain</w:t>
      </w:r>
      <w:r>
        <w:rPr>
          <w:spacing w:val="-1"/>
        </w:rPr>
        <w:t> </w:t>
      </w:r>
      <w:r>
        <w:rPr/>
        <w:t>(TCT-</w:t>
      </w:r>
      <w:r>
        <w:rPr>
          <w:spacing w:val="-4"/>
        </w:rPr>
        <w:t>043)</w:t>
      </w:r>
    </w:p>
    <w:p>
      <w:pPr>
        <w:pStyle w:val="BodyText"/>
        <w:spacing w:before="2"/>
      </w:pPr>
    </w:p>
    <w:p>
      <w:pPr>
        <w:spacing w:line="480" w:lineRule="auto" w:before="0"/>
        <w:ind w:left="1548" w:right="1548" w:firstLine="0"/>
        <w:jc w:val="center"/>
        <w:rPr>
          <w:sz w:val="28"/>
        </w:rPr>
      </w:pPr>
      <w:r>
        <w:rPr>
          <w:sz w:val="28"/>
        </w:rPr>
        <w:t>Thar</w:t>
      </w:r>
      <w:r>
        <w:rPr>
          <w:spacing w:val="-5"/>
          <w:sz w:val="28"/>
        </w:rPr>
        <w:t> </w:t>
      </w:r>
      <w:r>
        <w:rPr>
          <w:sz w:val="28"/>
        </w:rPr>
        <w:t>Institute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Engineering,</w:t>
      </w:r>
      <w:r>
        <w:rPr>
          <w:spacing w:val="-6"/>
          <w:sz w:val="28"/>
        </w:rPr>
        <w:t> </w:t>
      </w:r>
      <w:r>
        <w:rPr>
          <w:sz w:val="28"/>
        </w:rPr>
        <w:t>Science</w:t>
      </w:r>
      <w:r>
        <w:rPr>
          <w:spacing w:val="-5"/>
          <w:sz w:val="28"/>
        </w:rPr>
        <w:t> </w:t>
      </w:r>
      <w:r>
        <w:rPr>
          <w:sz w:val="28"/>
        </w:rPr>
        <w:t>&amp;</w:t>
      </w:r>
      <w:r>
        <w:rPr>
          <w:spacing w:val="-3"/>
          <w:sz w:val="28"/>
        </w:rPr>
        <w:t> </w:t>
      </w:r>
      <w:r>
        <w:rPr>
          <w:sz w:val="28"/>
        </w:rPr>
        <w:t>Technology</w:t>
      </w:r>
      <w:r>
        <w:rPr>
          <w:spacing w:val="-9"/>
          <w:sz w:val="28"/>
        </w:rPr>
        <w:t> </w:t>
      </w:r>
      <w:r>
        <w:rPr>
          <w:sz w:val="28"/>
        </w:rPr>
        <w:t>(TIEST) EA-115: Academic Reading and Writing</w:t>
      </w:r>
    </w:p>
    <w:p>
      <w:pPr>
        <w:pStyle w:val="BodyText"/>
        <w:spacing w:line="228" w:lineRule="exact"/>
        <w:ind w:right="1"/>
        <w:jc w:val="center"/>
      </w:pPr>
      <w:r>
        <w:rPr/>
        <w:t>ProfessorTalha</w:t>
      </w:r>
      <w:r>
        <w:rPr>
          <w:spacing w:val="-8"/>
        </w:rPr>
        <w:t> </w:t>
      </w:r>
      <w:r>
        <w:rPr>
          <w:spacing w:val="-4"/>
        </w:rPr>
        <w:t>Memon</w:t>
      </w:r>
    </w:p>
    <w:p>
      <w:pPr>
        <w:pStyle w:val="BodyText"/>
      </w:pPr>
    </w:p>
    <w:p>
      <w:pPr>
        <w:pStyle w:val="BodyText"/>
        <w:ind w:left="3911" w:right="3911"/>
        <w:jc w:val="center"/>
      </w:pPr>
      <w:r>
        <w:rPr/>
        <w:t>October</w:t>
      </w:r>
      <w:r>
        <w:rPr>
          <w:spacing w:val="-3"/>
        </w:rPr>
        <w:t> </w:t>
      </w:r>
      <w:r>
        <w:rPr/>
        <w:t>20,</w:t>
      </w:r>
      <w:r>
        <w:rPr>
          <w:spacing w:val="-1"/>
        </w:rPr>
        <w:t> </w:t>
      </w:r>
      <w:r>
        <w:rPr>
          <w:spacing w:val="-4"/>
        </w:rPr>
        <w:t>2025</w:t>
      </w:r>
    </w:p>
    <w:p>
      <w:pPr>
        <w:pStyle w:val="BodyText"/>
        <w:spacing w:after="0"/>
        <w:jc w:val="center"/>
        <w:sectPr>
          <w:headerReference w:type="default" r:id="rId5"/>
          <w:type w:val="continuous"/>
          <w:pgSz w:w="12240" w:h="15840"/>
          <w:pgMar w:header="761" w:footer="0" w:top="1680" w:bottom="28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Heading1"/>
        <w:spacing w:before="79"/>
      </w:pPr>
      <w:r>
        <w:rPr>
          <w:spacing w:val="-2"/>
        </w:rPr>
        <w:t>Bibliography</w:t>
      </w:r>
    </w:p>
    <w:p>
      <w:pPr>
        <w:pStyle w:val="BodyText"/>
        <w:spacing w:before="202"/>
        <w:rPr>
          <w:b/>
          <w:sz w:val="28"/>
        </w:rPr>
      </w:pPr>
    </w:p>
    <w:p>
      <w:pPr>
        <w:spacing w:line="619" w:lineRule="auto" w:before="0"/>
        <w:ind w:left="226" w:right="660" w:hanging="227"/>
        <w:jc w:val="both"/>
        <w:rPr>
          <w:sz w:val="24"/>
        </w:rPr>
      </w:pPr>
      <w:r>
        <w:rPr>
          <w:sz w:val="24"/>
        </w:rPr>
        <w:t>Clark,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(2013).</w:t>
      </w:r>
      <w:r>
        <w:rPr>
          <w:spacing w:val="-2"/>
          <w:sz w:val="24"/>
        </w:rPr>
        <w:t> </w:t>
      </w:r>
      <w:r>
        <w:rPr>
          <w:sz w:val="24"/>
        </w:rPr>
        <w:t>Overloading</w:t>
      </w:r>
      <w:r>
        <w:rPr>
          <w:spacing w:val="-3"/>
          <w:sz w:val="24"/>
        </w:rPr>
        <w:t> </w:t>
      </w:r>
      <w:r>
        <w:rPr>
          <w:sz w:val="24"/>
        </w:rPr>
        <w:t>methods,</w:t>
      </w:r>
      <w:r>
        <w:rPr>
          <w:spacing w:val="-2"/>
          <w:sz w:val="24"/>
        </w:rPr>
        <w:t> </w:t>
      </w: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arrays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array</w:t>
      </w:r>
      <w:r>
        <w:rPr>
          <w:spacing w:val="-5"/>
          <w:sz w:val="24"/>
        </w:rPr>
        <w:t> </w:t>
      </w:r>
      <w:r>
        <w:rPr>
          <w:sz w:val="24"/>
        </w:rPr>
        <w:t>Lists,</w:t>
      </w:r>
      <w:r>
        <w:rPr>
          <w:spacing w:val="-2"/>
          <w:sz w:val="24"/>
        </w:rPr>
        <w:t> </w:t>
      </w:r>
      <w:r>
        <w:rPr>
          <w:sz w:val="24"/>
        </w:rPr>
        <w:t>introducing</w:t>
      </w:r>
      <w:r>
        <w:rPr>
          <w:spacing w:val="-4"/>
          <w:sz w:val="24"/>
        </w:rPr>
        <w:t> </w:t>
      </w:r>
      <w:r>
        <w:rPr>
          <w:sz w:val="24"/>
        </w:rPr>
        <w:t>decision structures,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loop</w:t>
      </w:r>
      <w:r>
        <w:rPr>
          <w:spacing w:val="-4"/>
          <w:sz w:val="24"/>
        </w:rPr>
        <w:t> </w:t>
      </w:r>
      <w:r>
        <w:rPr>
          <w:sz w:val="24"/>
        </w:rPr>
        <w:t>structures.</w:t>
      </w:r>
      <w:r>
        <w:rPr>
          <w:spacing w:val="-4"/>
          <w:sz w:val="24"/>
        </w:rPr>
        <w:t> </w:t>
      </w:r>
      <w:r>
        <w:rPr>
          <w:i/>
          <w:sz w:val="24"/>
        </w:rPr>
        <w:t>Beginning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C#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object-oriented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programming</w:t>
      </w:r>
      <w:r>
        <w:rPr>
          <w:i/>
          <w:spacing w:val="-4"/>
          <w:sz w:val="24"/>
        </w:rPr>
        <w:t> </w:t>
      </w:r>
      <w:r>
        <w:rPr>
          <w:sz w:val="24"/>
        </w:rPr>
        <w:t>(pp.</w:t>
      </w:r>
      <w:r>
        <w:rPr>
          <w:spacing w:val="-4"/>
          <w:sz w:val="24"/>
        </w:rPr>
        <w:t> </w:t>
      </w:r>
      <w:r>
        <w:rPr>
          <w:sz w:val="24"/>
        </w:rPr>
        <w:t>90,144,</w:t>
      </w:r>
      <w:r>
        <w:rPr>
          <w:spacing w:val="-4"/>
          <w:sz w:val="24"/>
        </w:rPr>
        <w:t> </w:t>
      </w:r>
      <w:r>
        <w:rPr>
          <w:sz w:val="24"/>
        </w:rPr>
        <w:t>337). </w:t>
      </w:r>
      <w:r>
        <w:rPr>
          <w:spacing w:val="-2"/>
          <w:sz w:val="24"/>
        </w:rPr>
        <w:t>Apress.</w:t>
      </w:r>
    </w:p>
    <w:p>
      <w:pPr>
        <w:pStyle w:val="BodyText"/>
      </w:pPr>
      <w:r>
        <w:rPr/>
        <w:t>Deitel,</w:t>
      </w:r>
      <w:r>
        <w:rPr>
          <w:spacing w:val="-6"/>
        </w:rPr>
        <w:t> </w:t>
      </w:r>
      <w:r>
        <w:rPr/>
        <w:t>P.,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Dietel,</w:t>
      </w:r>
      <w:r>
        <w:rPr>
          <w:spacing w:val="-3"/>
        </w:rPr>
        <w:t> </w:t>
      </w:r>
      <w:r>
        <w:rPr/>
        <w:t>H.</w:t>
      </w:r>
      <w:r>
        <w:rPr>
          <w:spacing w:val="-3"/>
        </w:rPr>
        <w:t> </w:t>
      </w:r>
      <w:r>
        <w:rPr/>
        <w:t>(2021).</w:t>
      </w:r>
      <w:r>
        <w:rPr>
          <w:spacing w:val="-5"/>
        </w:rPr>
        <w:t> </w:t>
      </w:r>
      <w:r>
        <w:rPr/>
        <w:t>Control</w:t>
      </w:r>
      <w:r>
        <w:rPr>
          <w:spacing w:val="-3"/>
        </w:rPr>
        <w:t> </w:t>
      </w:r>
      <w:r>
        <w:rPr/>
        <w:t>structures,</w:t>
      </w:r>
      <w:r>
        <w:rPr>
          <w:spacing w:val="-2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statements,</w:t>
      </w:r>
      <w:r>
        <w:rPr>
          <w:spacing w:val="-4"/>
        </w:rPr>
        <w:t> </w:t>
      </w:r>
      <w:r>
        <w:rPr/>
        <w:t>arrays.</w:t>
      </w:r>
      <w:r>
        <w:rPr>
          <w:spacing w:val="-3"/>
        </w:rPr>
        <w:t> </w:t>
      </w:r>
      <w:r>
        <w:rPr>
          <w:i/>
        </w:rPr>
        <w:t>C</w:t>
      </w:r>
      <w:r>
        <w:rPr>
          <w:i/>
          <w:spacing w:val="-4"/>
        </w:rPr>
        <w:t> </w:t>
      </w:r>
      <w:r>
        <w:rPr>
          <w:i/>
        </w:rPr>
        <w:t>How</w:t>
      </w:r>
      <w:r>
        <w:rPr>
          <w:i/>
          <w:spacing w:val="-3"/>
        </w:rPr>
        <w:t> </w:t>
      </w:r>
      <w:r>
        <w:rPr>
          <w:i/>
        </w:rPr>
        <w:t>to</w:t>
      </w:r>
      <w:r>
        <w:rPr>
          <w:i/>
          <w:spacing w:val="-4"/>
        </w:rPr>
        <w:t> </w:t>
      </w:r>
      <w:r>
        <w:rPr>
          <w:i/>
        </w:rPr>
        <w:t>Program</w:t>
      </w:r>
      <w:r>
        <w:rPr>
          <w:i/>
          <w:spacing w:val="-3"/>
        </w:rPr>
        <w:t> </w:t>
      </w:r>
      <w:r>
        <w:rPr>
          <w:spacing w:val="-4"/>
        </w:rPr>
        <w:t>(pp.</w:t>
      </w:r>
    </w:p>
    <w:p>
      <w:pPr>
        <w:pStyle w:val="BodyText"/>
        <w:spacing w:before="161"/>
      </w:pPr>
    </w:p>
    <w:p>
      <w:pPr>
        <w:pStyle w:val="BodyText"/>
        <w:ind w:left="300"/>
      </w:pPr>
      <w:r>
        <w:rPr/>
        <w:t>88,</w:t>
      </w:r>
      <w:r>
        <w:rPr>
          <w:spacing w:val="-3"/>
        </w:rPr>
        <w:t> </w:t>
      </w:r>
      <w:r>
        <w:rPr/>
        <w:t>92–96, 244–281).</w:t>
      </w:r>
      <w:r>
        <w:rPr>
          <w:spacing w:val="-1"/>
        </w:rPr>
        <w:t> </w:t>
      </w:r>
      <w:r>
        <w:rPr>
          <w:spacing w:val="-2"/>
        </w:rPr>
        <w:t>Pearson.</w:t>
      </w:r>
    </w:p>
    <w:p>
      <w:pPr>
        <w:pStyle w:val="BodyText"/>
        <w:spacing w:before="158"/>
      </w:pPr>
    </w:p>
    <w:p>
      <w:pPr>
        <w:pStyle w:val="BodyText"/>
        <w:spacing w:before="1"/>
        <w:rPr>
          <w:i/>
        </w:rPr>
      </w:pPr>
      <w:r>
        <w:rPr/>
        <w:t>Harwani,</w:t>
      </w:r>
      <w:r>
        <w:rPr>
          <w:spacing w:val="-4"/>
        </w:rPr>
        <w:t> </w:t>
      </w:r>
      <w:r>
        <w:rPr/>
        <w:t>B.</w:t>
      </w:r>
      <w:r>
        <w:rPr>
          <w:spacing w:val="-1"/>
        </w:rPr>
        <w:t> </w:t>
      </w:r>
      <w:r>
        <w:rPr/>
        <w:t>M.</w:t>
      </w:r>
      <w:r>
        <w:rPr>
          <w:spacing w:val="-2"/>
        </w:rPr>
        <w:t> </w:t>
      </w:r>
      <w:r>
        <w:rPr/>
        <w:t>(2015). Decision-making</w:t>
      </w:r>
      <w:r>
        <w:rPr>
          <w:spacing w:val="-4"/>
        </w:rPr>
        <w:t> </w:t>
      </w:r>
      <w:r>
        <w:rPr/>
        <w:t>statements,</w:t>
      </w:r>
      <w:r>
        <w:rPr>
          <w:spacing w:val="-2"/>
        </w:rPr>
        <w:t> </w:t>
      </w:r>
      <w:r>
        <w:rPr/>
        <w:t>arrays,</w:t>
      </w:r>
      <w:r>
        <w:rPr>
          <w:spacing w:val="-1"/>
        </w:rPr>
        <w:t> </w:t>
      </w:r>
      <w:r>
        <w:rPr/>
        <w:t>method</w:t>
      </w:r>
      <w:r>
        <w:rPr>
          <w:spacing w:val="-1"/>
        </w:rPr>
        <w:t> </w:t>
      </w:r>
      <w:r>
        <w:rPr/>
        <w:t>overloading.</w:t>
      </w:r>
      <w:r>
        <w:rPr>
          <w:spacing w:val="-1"/>
        </w:rPr>
        <w:t> </w:t>
      </w:r>
      <w:r>
        <w:rPr>
          <w:i/>
        </w:rPr>
        <w:t>Learning</w:t>
      </w:r>
      <w:r>
        <w:rPr>
          <w:i/>
          <w:spacing w:val="-1"/>
        </w:rPr>
        <w:t> </w:t>
      </w:r>
      <w:r>
        <w:rPr>
          <w:i/>
          <w:spacing w:val="-2"/>
        </w:rPr>
        <w:t>Object-</w:t>
      </w:r>
    </w:p>
    <w:p>
      <w:pPr>
        <w:pStyle w:val="BodyText"/>
        <w:spacing w:before="160"/>
        <w:rPr>
          <w:i/>
        </w:rPr>
      </w:pPr>
    </w:p>
    <w:p>
      <w:pPr>
        <w:pStyle w:val="BodyText"/>
        <w:spacing w:line="619" w:lineRule="auto"/>
        <w:ind w:right="29" w:firstLine="240"/>
        <w:rPr>
          <w:i/>
        </w:rPr>
      </w:pPr>
      <w:r>
        <w:rPr>
          <w:i/>
        </w:rPr>
        <w:t>Oriented</w:t>
      </w:r>
      <w:r>
        <w:rPr>
          <w:i/>
          <w:spacing w:val="-5"/>
        </w:rPr>
        <w:t> </w:t>
      </w:r>
      <w:r>
        <w:rPr>
          <w:i/>
        </w:rPr>
        <w:t>Programming</w:t>
      </w:r>
      <w:r>
        <w:rPr>
          <w:i/>
          <w:spacing w:val="-5"/>
        </w:rPr>
        <w:t> </w:t>
      </w:r>
      <w:r>
        <w:rPr>
          <w:i/>
        </w:rPr>
        <w:t>in</w:t>
      </w:r>
      <w:r>
        <w:rPr>
          <w:i/>
          <w:spacing w:val="-5"/>
        </w:rPr>
        <w:t> </w:t>
      </w:r>
      <w:r>
        <w:rPr>
          <w:i/>
        </w:rPr>
        <w:t>C#</w:t>
      </w:r>
      <w:r>
        <w:rPr>
          <w:i/>
          <w:spacing w:val="-4"/>
        </w:rPr>
        <w:t> </w:t>
      </w:r>
      <w:r>
        <w:rPr>
          <w:i/>
        </w:rPr>
        <w:t>5.0</w:t>
      </w:r>
      <w:r>
        <w:rPr>
          <w:i/>
          <w:spacing w:val="-5"/>
        </w:rPr>
        <w:t> </w:t>
      </w:r>
      <w:r>
        <w:rPr/>
        <w:t>(pp.</w:t>
      </w:r>
      <w:r>
        <w:rPr>
          <w:spacing w:val="-6"/>
        </w:rPr>
        <w:t> </w:t>
      </w:r>
      <w:r>
        <w:rPr/>
        <w:t>85–101,</w:t>
      </w:r>
      <w:r>
        <w:rPr>
          <w:spacing w:val="-8"/>
        </w:rPr>
        <w:t> </w:t>
      </w:r>
      <w:r>
        <w:rPr/>
        <w:t>113–119,</w:t>
      </w:r>
      <w:r>
        <w:rPr>
          <w:spacing w:val="-5"/>
        </w:rPr>
        <w:t> </w:t>
      </w:r>
      <w:r>
        <w:rPr/>
        <w:t>153–157,</w:t>
      </w:r>
      <w:r>
        <w:rPr>
          <w:spacing w:val="-5"/>
        </w:rPr>
        <w:t> </w:t>
      </w:r>
      <w:r>
        <w:rPr/>
        <w:t>204–205).</w:t>
      </w:r>
      <w:r>
        <w:rPr>
          <w:spacing w:val="-6"/>
        </w:rPr>
        <w:t> </w:t>
      </w:r>
      <w:r>
        <w:rPr/>
        <w:t>Cengage</w:t>
      </w:r>
      <w:r>
        <w:rPr>
          <w:spacing w:val="-5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PTR. Kanetkar,</w:t>
      </w:r>
      <w:r>
        <w:rPr>
          <w:spacing w:val="-3"/>
        </w:rPr>
        <w:t> </w:t>
      </w:r>
      <w:r>
        <w:rPr/>
        <w:t>Y. P.(2002). Decision control structure, loop control structures, control structures, arrays. </w:t>
      </w:r>
      <w:r>
        <w:rPr>
          <w:i/>
        </w:rPr>
        <w:t>Let</w:t>
      </w:r>
    </w:p>
    <w:p>
      <w:pPr>
        <w:pStyle w:val="BodyText"/>
        <w:spacing w:line="276" w:lineRule="exact"/>
        <w:ind w:left="240"/>
      </w:pPr>
      <w:r>
        <w:rPr>
          <w:i/>
        </w:rPr>
        <w:t>Us</w:t>
      </w:r>
      <w:r>
        <w:rPr>
          <w:i/>
          <w:spacing w:val="-4"/>
        </w:rPr>
        <w:t> </w:t>
      </w:r>
      <w:r>
        <w:rPr>
          <w:i/>
        </w:rPr>
        <w:t>C </w:t>
      </w:r>
      <w:r>
        <w:rPr/>
        <w:t>(pp.</w:t>
      </w:r>
      <w:r>
        <w:rPr>
          <w:spacing w:val="-2"/>
        </w:rPr>
        <w:t> </w:t>
      </w:r>
      <w:r>
        <w:rPr/>
        <w:t>49–58, 97–124, 135–144,</w:t>
      </w:r>
      <w:r>
        <w:rPr>
          <w:spacing w:val="-1"/>
        </w:rPr>
        <w:t> </w:t>
      </w:r>
      <w:r>
        <w:rPr/>
        <w:t>269–304).</w:t>
      </w:r>
      <w:r>
        <w:rPr>
          <w:spacing w:val="-1"/>
        </w:rPr>
        <w:t> </w:t>
      </w:r>
      <w:r>
        <w:rPr/>
        <w:t>BPB</w:t>
      </w:r>
      <w:r>
        <w:rPr>
          <w:spacing w:val="-2"/>
        </w:rPr>
        <w:t> Publications.</w:t>
      </w:r>
    </w:p>
    <w:p>
      <w:pPr>
        <w:pStyle w:val="BodyText"/>
        <w:spacing w:before="161"/>
      </w:pPr>
    </w:p>
    <w:p>
      <w:pPr>
        <w:spacing w:line="619" w:lineRule="auto" w:before="0"/>
        <w:ind w:left="300" w:right="0" w:hanging="301"/>
        <w:jc w:val="left"/>
        <w:rPr>
          <w:sz w:val="24"/>
        </w:rPr>
      </w:pPr>
      <w:r>
        <w:rPr>
          <w:sz w:val="24"/>
        </w:rPr>
        <w:t>Sebesta,</w:t>
      </w:r>
      <w:r>
        <w:rPr>
          <w:spacing w:val="-11"/>
          <w:sz w:val="24"/>
        </w:rPr>
        <w:t> </w:t>
      </w:r>
      <w:r>
        <w:rPr>
          <w:sz w:val="24"/>
        </w:rPr>
        <w:t>R.</w:t>
      </w:r>
      <w:r>
        <w:rPr>
          <w:spacing w:val="-11"/>
          <w:sz w:val="24"/>
        </w:rPr>
        <w:t> </w:t>
      </w:r>
      <w:r>
        <w:rPr>
          <w:sz w:val="24"/>
        </w:rPr>
        <w:t>W.(2021).</w:t>
      </w:r>
      <w:r>
        <w:rPr>
          <w:spacing w:val="-16"/>
          <w:sz w:val="24"/>
        </w:rPr>
        <w:t> </w:t>
      </w:r>
      <w:r>
        <w:rPr>
          <w:sz w:val="24"/>
        </w:rPr>
        <w:t>Arrays,</w:t>
      </w:r>
      <w:r>
        <w:rPr>
          <w:spacing w:val="-7"/>
          <w:sz w:val="24"/>
        </w:rPr>
        <w:t> </w:t>
      </w:r>
      <w:r>
        <w:rPr>
          <w:sz w:val="24"/>
        </w:rPr>
        <w:t>selection</w:t>
      </w:r>
      <w:r>
        <w:rPr>
          <w:spacing w:val="-7"/>
          <w:sz w:val="24"/>
        </w:rPr>
        <w:t> </w:t>
      </w:r>
      <w:r>
        <w:rPr>
          <w:sz w:val="24"/>
        </w:rPr>
        <w:t>statements,</w:t>
      </w:r>
      <w:r>
        <w:rPr>
          <w:spacing w:val="-7"/>
          <w:sz w:val="24"/>
        </w:rPr>
        <w:t> </w:t>
      </w:r>
      <w:r>
        <w:rPr>
          <w:sz w:val="24"/>
        </w:rPr>
        <w:t>iterative</w:t>
      </w:r>
      <w:r>
        <w:rPr>
          <w:spacing w:val="-8"/>
          <w:sz w:val="24"/>
        </w:rPr>
        <w:t> </w:t>
      </w:r>
      <w:r>
        <w:rPr>
          <w:sz w:val="24"/>
        </w:rPr>
        <w:t>statements.</w:t>
      </w:r>
      <w:r>
        <w:rPr>
          <w:spacing w:val="40"/>
          <w:sz w:val="24"/>
        </w:rPr>
        <w:t> </w:t>
      </w:r>
      <w:r>
        <w:rPr>
          <w:i/>
          <w:sz w:val="24"/>
        </w:rPr>
        <w:t>Concepts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programming languages </w:t>
      </w:r>
      <w:r>
        <w:rPr>
          <w:sz w:val="24"/>
        </w:rPr>
        <w:t>(pp. 274–285, 356–367, 367–379). Pearson.</w:t>
      </w:r>
    </w:p>
    <w:p>
      <w:pPr>
        <w:spacing w:line="619" w:lineRule="auto" w:before="0"/>
        <w:ind w:left="240" w:right="242" w:hanging="241"/>
        <w:jc w:val="left"/>
        <w:rPr>
          <w:sz w:val="24"/>
        </w:rPr>
      </w:pPr>
      <w:r>
        <w:rPr>
          <w:sz w:val="24"/>
        </w:rPr>
        <w:t>Wu, C. T. (2010). Selection statements, repetition statements, arrays, method overloading. </w:t>
      </w:r>
      <w:r>
        <w:rPr>
          <w:i/>
          <w:sz w:val="24"/>
        </w:rPr>
        <w:t>An Introduction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Object-Oriented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Programming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Java</w:t>
      </w:r>
      <w:r>
        <w:rPr>
          <w:i/>
          <w:spacing w:val="-5"/>
          <w:sz w:val="24"/>
        </w:rPr>
        <w:t> </w:t>
      </w:r>
      <w:r>
        <w:rPr>
          <w:sz w:val="24"/>
        </w:rPr>
        <w:t>(pp.</w:t>
      </w:r>
      <w:r>
        <w:rPr>
          <w:spacing w:val="-6"/>
          <w:sz w:val="24"/>
        </w:rPr>
        <w:t> </w:t>
      </w:r>
      <w:r>
        <w:rPr>
          <w:sz w:val="24"/>
        </w:rPr>
        <w:t>221-252,</w:t>
      </w:r>
      <w:r>
        <w:rPr>
          <w:spacing w:val="-4"/>
          <w:sz w:val="24"/>
        </w:rPr>
        <w:t> </w:t>
      </w:r>
      <w:r>
        <w:rPr>
          <w:sz w:val="24"/>
        </w:rPr>
        <w:t>303-332,</w:t>
      </w:r>
      <w:r>
        <w:rPr>
          <w:spacing w:val="-6"/>
          <w:sz w:val="24"/>
        </w:rPr>
        <w:t> </w:t>
      </w:r>
      <w:r>
        <w:rPr>
          <w:sz w:val="24"/>
        </w:rPr>
        <w:t>555-589,</w:t>
      </w:r>
      <w:r>
        <w:rPr>
          <w:spacing w:val="-6"/>
          <w:sz w:val="24"/>
        </w:rPr>
        <w:t> </w:t>
      </w:r>
      <w:r>
        <w:rPr>
          <w:sz w:val="24"/>
        </w:rPr>
        <w:t>386- 391). McGraw-Hill Higher Education.</w:t>
      </w:r>
    </w:p>
    <w:sectPr>
      <w:pgSz w:w="12240" w:h="15840"/>
      <w:pgMar w:header="761" w:footer="0" w:top="16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512">
              <wp:simplePos x="0" y="0"/>
              <wp:positionH relativeFrom="page">
                <wp:posOffset>6978142</wp:posOffset>
              </wp:positionH>
              <wp:positionV relativeFrom="page">
                <wp:posOffset>470408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9.460022pt;margin-top:37.040001pt;width:12.6pt;height:13.05pt;mso-position-horizontal-relative:page;mso-position-vertical-relative:page;z-index:-1576396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911" w:right="391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Admininstrator</dc:creator>
  <dcterms:created xsi:type="dcterms:W3CDTF">2025-10-27T18:28:42Z</dcterms:created>
  <dcterms:modified xsi:type="dcterms:W3CDTF">2025-10-27T18:28:42Z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2016</vt:lpwstr>
  </property>
</Properties>
</file>