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B81D6F7" w14:textId="77777777" w:rsidR="00370017" w:rsidRDefault="00370017" w:rsidP="00370017">
      <w:pPr>
        <w:pStyle w:val="Heading1"/>
        <w:numPr>
          <w:ilvl w:val="0"/>
          <w:numId w:val="0"/>
        </w:numPr>
        <w:rPr>
          <w:b/>
          <w:bCs/>
          <w:sz w:val="24"/>
          <w:szCs w:val="24"/>
        </w:rPr>
      </w:pPr>
      <w:bookmarkStart w:id="0" w:name="_Hlk185498375"/>
      <w:bookmarkEnd w:id="0"/>
    </w:p>
    <w:p w14:paraId="0F1177D4" w14:textId="77777777" w:rsidR="00370017" w:rsidRDefault="00370017" w:rsidP="00370017">
      <w:pPr>
        <w:pStyle w:val="Heading1"/>
        <w:numPr>
          <w:ilvl w:val="0"/>
          <w:numId w:val="0"/>
        </w:numPr>
        <w:rPr>
          <w:b/>
          <w:bCs/>
          <w:sz w:val="24"/>
          <w:szCs w:val="24"/>
        </w:rPr>
      </w:pPr>
    </w:p>
    <w:p w14:paraId="43CC4C0C" w14:textId="2F208EC2" w:rsidR="00370017" w:rsidRPr="00370017" w:rsidRDefault="00370017" w:rsidP="00370017">
      <w:pPr>
        <w:pStyle w:val="Heading1"/>
        <w:numPr>
          <w:ilvl w:val="0"/>
          <w:numId w:val="0"/>
        </w:numPr>
        <w:rPr>
          <w:b/>
          <w:bCs/>
          <w:sz w:val="28"/>
          <w:szCs w:val="28"/>
        </w:rPr>
      </w:pPr>
      <w:r w:rsidRPr="00370017">
        <w:rPr>
          <w:b/>
          <w:bCs/>
          <w:sz w:val="28"/>
          <w:szCs w:val="28"/>
        </w:rPr>
        <w:t>The Economic Dynamics of Hosting the FIFA World Cup: A Comparative Study of Developed and Developing Nations</w:t>
      </w:r>
    </w:p>
    <w:p w14:paraId="6AC78F54" w14:textId="19A4CD0A" w:rsidR="00D7522C" w:rsidRPr="009C259A" w:rsidRDefault="00D7522C"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p>
    <w:p w14:paraId="785D65AB" w14:textId="77777777" w:rsidR="00370017" w:rsidRDefault="00370017" w:rsidP="00BD670B">
      <w:pPr>
        <w:pStyle w:val="Author"/>
        <w:spacing w:before="5pt" w:beforeAutospacing="1"/>
        <w:rPr>
          <w:sz w:val="18"/>
          <w:szCs w:val="18"/>
        </w:rPr>
      </w:pPr>
    </w:p>
    <w:p w14:paraId="52CD4039" w14:textId="77777777" w:rsidR="00370017" w:rsidRDefault="00370017" w:rsidP="00370017">
      <w:pPr>
        <w:pStyle w:val="Author"/>
        <w:spacing w:before="0pt"/>
        <w:rPr>
          <w:sz w:val="18"/>
          <w:szCs w:val="18"/>
        </w:rPr>
      </w:pPr>
      <w:r>
        <w:rPr>
          <w:sz w:val="18"/>
          <w:szCs w:val="18"/>
        </w:rPr>
        <w:t>Areeba Naeem (231236)</w:t>
      </w:r>
    </w:p>
    <w:p w14:paraId="22B58EC4" w14:textId="13919351" w:rsidR="00370017" w:rsidRDefault="00370017" w:rsidP="00370017">
      <w:pPr>
        <w:pStyle w:val="Author"/>
        <w:spacing w:before="0pt"/>
        <w:rPr>
          <w:sz w:val="18"/>
          <w:szCs w:val="18"/>
        </w:rPr>
      </w:pPr>
      <w:r>
        <w:rPr>
          <w:sz w:val="18"/>
          <w:szCs w:val="18"/>
        </w:rPr>
        <w:t xml:space="preserve">Iqra Hussain (231222) </w:t>
      </w:r>
    </w:p>
    <w:p w14:paraId="5DDEA17D" w14:textId="77777777" w:rsidR="00370017" w:rsidRDefault="00370017" w:rsidP="00370017">
      <w:pPr>
        <w:pStyle w:val="Author"/>
        <w:spacing w:before="0pt"/>
        <w:rPr>
          <w:sz w:val="18"/>
          <w:szCs w:val="18"/>
        </w:rPr>
      </w:pPr>
      <w:r>
        <w:rPr>
          <w:sz w:val="18"/>
          <w:szCs w:val="18"/>
        </w:rPr>
        <w:t>Alishba Adnan (231222)</w:t>
      </w:r>
    </w:p>
    <w:p w14:paraId="607B1B96" w14:textId="26B31F80" w:rsidR="00370017" w:rsidRDefault="001A3B3D" w:rsidP="00370017">
      <w:pPr>
        <w:pStyle w:val="Author"/>
        <w:spacing w:before="0pt"/>
        <w:rPr>
          <w:bCs/>
          <w:i/>
          <w:sz w:val="18"/>
          <w:szCs w:val="18"/>
        </w:rPr>
      </w:pPr>
      <w:r w:rsidRPr="00370017">
        <w:rPr>
          <w:sz w:val="18"/>
          <w:szCs w:val="18"/>
        </w:rPr>
        <w:br/>
      </w:r>
      <w:r w:rsidR="00370017" w:rsidRPr="00370017">
        <w:rPr>
          <w:bCs/>
          <w:i/>
          <w:sz w:val="18"/>
          <w:szCs w:val="18"/>
        </w:rPr>
        <w:t>Department of Creativ</w:t>
      </w:r>
      <w:r w:rsidR="00370017">
        <w:rPr>
          <w:bCs/>
          <w:i/>
          <w:sz w:val="18"/>
          <w:szCs w:val="18"/>
        </w:rPr>
        <w:t>e</w:t>
      </w:r>
      <w:r w:rsidR="00370017" w:rsidRPr="00370017">
        <w:rPr>
          <w:bCs/>
          <w:i/>
          <w:sz w:val="18"/>
          <w:szCs w:val="18"/>
        </w:rPr>
        <w:t xml:space="preserve"> Technologies, Air University</w:t>
      </w:r>
    </w:p>
    <w:p w14:paraId="57C3D6FC" w14:textId="0E8698ED" w:rsidR="00370017" w:rsidRPr="00370017" w:rsidRDefault="00370017" w:rsidP="00370017">
      <w:pPr>
        <w:pStyle w:val="Author"/>
        <w:spacing w:before="0pt"/>
        <w:rPr>
          <w:i/>
          <w:sz w:val="18"/>
          <w:szCs w:val="18"/>
        </w:rPr>
      </w:pPr>
      <w:r w:rsidRPr="00370017">
        <w:rPr>
          <w:i/>
          <w:sz w:val="18"/>
          <w:szCs w:val="18"/>
        </w:rPr>
        <w:t>Prof. Tahir Sher</w:t>
      </w:r>
    </w:p>
    <w:p w14:paraId="13736206" w14:textId="77777777" w:rsidR="00370017" w:rsidRDefault="00370017" w:rsidP="00370017">
      <w:pPr>
        <w:pStyle w:val="Author"/>
        <w:spacing w:before="0pt"/>
        <w:rPr>
          <w:i/>
          <w:sz w:val="18"/>
          <w:szCs w:val="18"/>
        </w:rPr>
      </w:pPr>
      <w:r w:rsidRPr="00370017">
        <w:rPr>
          <w:i/>
          <w:sz w:val="18"/>
          <w:szCs w:val="18"/>
        </w:rPr>
        <w:t>December 12</w:t>
      </w:r>
      <w:r w:rsidRPr="00370017">
        <w:rPr>
          <w:i/>
          <w:sz w:val="18"/>
          <w:szCs w:val="18"/>
          <w:vertAlign w:val="superscript"/>
        </w:rPr>
        <w:t>th</w:t>
      </w:r>
      <w:r w:rsidRPr="00370017">
        <w:rPr>
          <w:i/>
          <w:sz w:val="18"/>
          <w:szCs w:val="18"/>
        </w:rPr>
        <w:t>, 2024</w:t>
      </w:r>
    </w:p>
    <w:p w14:paraId="646DB66B" w14:textId="240CA06E" w:rsidR="00370017" w:rsidRPr="00370017" w:rsidRDefault="00370017" w:rsidP="00370017">
      <w:pPr>
        <w:pStyle w:val="Author"/>
        <w:spacing w:before="0pt"/>
        <w:rPr>
          <w:i/>
          <w:sz w:val="18"/>
          <w:szCs w:val="18"/>
          <w:vertAlign w:val="superscript"/>
        </w:rPr>
      </w:pPr>
      <w:r w:rsidRPr="00370017">
        <w:rPr>
          <w:i/>
          <w:sz w:val="18"/>
          <w:szCs w:val="18"/>
          <w:vertAlign w:val="superscript"/>
        </w:rPr>
        <w:t xml:space="preserve"> </w:t>
      </w:r>
    </w:p>
    <w:p w14:paraId="74C5E471" w14:textId="77777777" w:rsidR="00370017" w:rsidRPr="00370017" w:rsidRDefault="00370017" w:rsidP="00370017">
      <w:pPr>
        <w:rPr>
          <w:i/>
          <w:color w:val="3B3838" w:themeColor="background2" w:themeShade="40"/>
          <w:sz w:val="18"/>
          <w:szCs w:val="18"/>
        </w:rPr>
      </w:pPr>
      <w:r w:rsidRPr="00370017">
        <w:rPr>
          <w:i/>
          <w:color w:val="3B3838" w:themeColor="background2" w:themeShade="40"/>
          <w:sz w:val="18"/>
          <w:szCs w:val="18"/>
        </w:rPr>
        <w:t xml:space="preserve">Areeba Naeem: </w:t>
      </w:r>
      <w:hyperlink r:id="rId9" w:history="1">
        <w:r w:rsidRPr="00370017">
          <w:rPr>
            <w:rStyle w:val="Hyperlink"/>
            <w:b/>
            <w:bCs/>
            <w:i/>
            <w:color w:val="011830" w:themeColor="hyperlink" w:themeShade="40"/>
            <w:sz w:val="18"/>
            <w:szCs w:val="18"/>
          </w:rPr>
          <w:t>231236@students.au.edu.pk</w:t>
        </w:r>
      </w:hyperlink>
    </w:p>
    <w:p w14:paraId="66D9AECC" w14:textId="77777777" w:rsidR="00370017" w:rsidRPr="00370017" w:rsidRDefault="00370017" w:rsidP="00370017">
      <w:pPr>
        <w:rPr>
          <w:i/>
          <w:color w:val="3B3838" w:themeColor="background2" w:themeShade="40"/>
          <w:sz w:val="18"/>
          <w:szCs w:val="18"/>
        </w:rPr>
      </w:pPr>
      <w:r w:rsidRPr="00370017">
        <w:rPr>
          <w:i/>
          <w:color w:val="3B3838" w:themeColor="background2" w:themeShade="40"/>
          <w:sz w:val="18"/>
          <w:szCs w:val="18"/>
        </w:rPr>
        <w:t xml:space="preserve">Iqra Hussain: </w:t>
      </w:r>
      <w:hyperlink r:id="rId10" w:history="1">
        <w:r w:rsidRPr="00370017">
          <w:rPr>
            <w:rStyle w:val="Hyperlink"/>
            <w:b/>
            <w:bCs/>
            <w:i/>
            <w:color w:val="011830" w:themeColor="hyperlink" w:themeShade="40"/>
            <w:sz w:val="18"/>
            <w:szCs w:val="18"/>
          </w:rPr>
          <w:t>231222@students.au.edu.pk</w:t>
        </w:r>
      </w:hyperlink>
    </w:p>
    <w:p w14:paraId="4813A9BE" w14:textId="77777777" w:rsidR="00370017" w:rsidRPr="00370017" w:rsidRDefault="00370017" w:rsidP="00370017">
      <w:pPr>
        <w:rPr>
          <w:i/>
          <w:color w:val="3B3838" w:themeColor="background2" w:themeShade="40"/>
          <w:sz w:val="18"/>
          <w:szCs w:val="18"/>
        </w:rPr>
      </w:pPr>
      <w:r w:rsidRPr="00370017">
        <w:rPr>
          <w:i/>
          <w:color w:val="3B3838" w:themeColor="background2" w:themeShade="40"/>
          <w:sz w:val="18"/>
          <w:szCs w:val="18"/>
        </w:rPr>
        <w:t xml:space="preserve">Alishba Adnan: </w:t>
      </w:r>
      <w:hyperlink r:id="rId11" w:history="1">
        <w:r w:rsidRPr="00370017">
          <w:rPr>
            <w:rStyle w:val="Hyperlink"/>
            <w:b/>
            <w:bCs/>
            <w:i/>
            <w:color w:val="011830" w:themeColor="hyperlink" w:themeShade="40"/>
            <w:sz w:val="18"/>
            <w:szCs w:val="18"/>
          </w:rPr>
          <w:t>231184@students.au.edu.pk</w:t>
        </w:r>
      </w:hyperlink>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03AD27B4" w14:textId="50A1B2F7" w:rsidR="00E86CFE" w:rsidRPr="0084056A" w:rsidRDefault="009303D9" w:rsidP="00E86CFE">
      <w:pPr>
        <w:pStyle w:val="NormalWeb"/>
        <w:rPr>
          <w:b/>
          <w:i/>
          <w:sz w:val="20"/>
        </w:rPr>
      </w:pPr>
      <w:r w:rsidRPr="009C259A">
        <w:rPr>
          <w:i/>
          <w:iCs/>
        </w:rPr>
        <w:t>Abstract</w:t>
      </w:r>
      <w:r w:rsidRPr="009C259A">
        <w:t>—</w:t>
      </w:r>
      <w:r w:rsidR="00E86CFE" w:rsidRPr="00E86CFE">
        <w:t xml:space="preserve"> </w:t>
      </w:r>
      <w:r w:rsidR="00E86CFE" w:rsidRPr="0084056A">
        <w:rPr>
          <w:b/>
          <w:i/>
          <w:sz w:val="20"/>
        </w:rPr>
        <w:t>Hosting the FIFA World Cup has delivered vastly different outcomes for countries like Germany, Japan, Brazil, and South Africa. Developed nations like Germany and Japan have turned the event into a triumph, leveraging strong infrastructure and financial stability to boost tourism, global trade, and national branding. In contrast, Brazil and South Africa faced challenges like economic strain, underutilized facilities, and social unrest, struggling to turn the event into lasting progress.</w:t>
      </w:r>
    </w:p>
    <w:p w14:paraId="24D8E5A8" w14:textId="6B3CA759" w:rsidR="00E86CFE" w:rsidRPr="0084056A" w:rsidRDefault="00E86CFE" w:rsidP="00E86CFE">
      <w:pPr>
        <w:pStyle w:val="NormalWeb"/>
        <w:rPr>
          <w:b/>
          <w:i/>
          <w:sz w:val="20"/>
        </w:rPr>
      </w:pPr>
      <w:r w:rsidRPr="0084056A">
        <w:rPr>
          <w:b/>
          <w:i/>
          <w:sz w:val="20"/>
        </w:rPr>
        <w:t xml:space="preserve">But there’s hope. With strategic planning, transparent governance, and sustainable strategies, future hosts can rewrite the script, ensuring the World Cup becomes a platform for meaningful and enduring growth. </w:t>
      </w:r>
    </w:p>
    <w:p w14:paraId="1A8F0EC3" w14:textId="645E054C" w:rsidR="009303D9" w:rsidRPr="009C259A" w:rsidRDefault="003736C3" w:rsidP="00E86CFE">
      <w:pPr>
        <w:jc w:val="both"/>
      </w:pPr>
      <w:r>
        <w:t>Introduction</w:t>
      </w:r>
    </w:p>
    <w:p w14:paraId="40B40939" w14:textId="77777777" w:rsidR="003736C3" w:rsidRPr="0049049D" w:rsidRDefault="003736C3" w:rsidP="003736C3"/>
    <w:p w14:paraId="55D2B888" w14:textId="77777777" w:rsidR="003736C3" w:rsidRPr="00022FD3" w:rsidRDefault="003736C3" w:rsidP="003736C3">
      <w:pPr>
        <w:jc w:val="both"/>
      </w:pPr>
      <w:r w:rsidRPr="00022FD3">
        <w:t>The FIFA World Cup, born in 1930 under the vision of Jules Rimet, has grown into the pinnacle of global sports, captivating billions worldwide. From Brazil’s iconic dominance in 1970 to South Africa’s groundbreaking hosting in 2010, the World Cup is more than a football tournament—it’s a stage where nations showcase their ambitions, infrastructure, and economic might. But beneath the glory lies a complex narrative of financial investment, economic transformation, and long-term legacies that differ starkly between developed and developing nations.</w:t>
      </w:r>
    </w:p>
    <w:p w14:paraId="0FFE17AB" w14:textId="59610AD1" w:rsidR="003736C3" w:rsidRPr="00022FD3" w:rsidRDefault="003736C3" w:rsidP="003736C3">
      <w:pPr>
        <w:jc w:val="both"/>
      </w:pPr>
      <w:r w:rsidRPr="00022FD3">
        <w:t xml:space="preserve">This research dives into the high-stakes economic dynamics of hosting the FIFA World Cup, comparing the opportunities and challenges faced by developed and developing countries. How do advanced economies like Germany extract enduring economic benefits from their established infrastructure? Why do emerging nations like Brazil or South Africa risk billions for the promise of global recognition? By analyzing factors like infrastructure investment, tourism surges, job creation, and post-event economic sustainability, this paper uncovers </w:t>
      </w:r>
      <w:r w:rsidRPr="00022FD3">
        <w:t>the untold story of the economic winners and losers behind the World Cup.</w:t>
      </w:r>
    </w:p>
    <w:p w14:paraId="79C293E2" w14:textId="6C0FF655" w:rsidR="003736C3" w:rsidRDefault="003736C3" w:rsidP="003736C3">
      <w:pPr>
        <w:jc w:val="both"/>
      </w:pPr>
      <w:r w:rsidRPr="00022FD3">
        <w:t>In a world where hosting this mega-event can transform a nation’s global image—or leave behind empty stadiums and mounting debt—this study provides actionable insights for future hosts. By comparing past successes and failures, the research offers a blueprint for turning the FIFA World Cup into a sustainable, game-changing opportunity for nations of all economic standings.</w:t>
      </w:r>
    </w:p>
    <w:p w14:paraId="3B6A0581" w14:textId="6D61EB9E" w:rsidR="003736C3" w:rsidRDefault="003736C3" w:rsidP="003736C3">
      <w:pPr>
        <w:jc w:val="both"/>
      </w:pPr>
    </w:p>
    <w:p w14:paraId="609910B8" w14:textId="642CC090" w:rsidR="003736C3" w:rsidRDefault="003736C3" w:rsidP="003736C3">
      <w:pPr>
        <w:pStyle w:val="Heading1"/>
        <w:rPr>
          <w:bCs/>
        </w:rPr>
      </w:pPr>
      <w:r w:rsidRPr="003736C3">
        <w:rPr>
          <w:bCs/>
        </w:rPr>
        <w:t>Literature Review: Lessons from Brazil, Germany, South Africa, and Japan</w:t>
      </w:r>
    </w:p>
    <w:p w14:paraId="04978DAA" w14:textId="77777777" w:rsidR="003736C3" w:rsidRDefault="003736C3" w:rsidP="003736C3">
      <w:pPr>
        <w:jc w:val="both"/>
      </w:pPr>
      <w:r w:rsidRPr="00846B65">
        <w:t>The FIFA World Cup, a global spectacle with profound economic, cultural, and social implications, has left a lasting legacy in the countries that host it. Through the lens of four landmark events—Brazil (2014), Germany (2006), South Africa (2010), and Japan (2002)—this review explores the divergent impacts and enduring lessons for both developed and developing nations. These case studies illustrate the stakes, successes, and shortcomings of hosting one of the world’s most celebrated events.</w:t>
      </w:r>
    </w:p>
    <w:p w14:paraId="23E4337A" w14:textId="77777777" w:rsidR="003736C3" w:rsidRPr="003736C3" w:rsidRDefault="003736C3" w:rsidP="003736C3">
      <w:pPr>
        <w:jc w:val="both"/>
      </w:pPr>
    </w:p>
    <w:p w14:paraId="20A3F9D1" w14:textId="23F92123" w:rsidR="009303D9" w:rsidRDefault="003736C3" w:rsidP="0035639D">
      <w:pPr>
        <w:pStyle w:val="Heading2"/>
        <w:rPr>
          <w:b/>
          <w:bCs/>
        </w:rPr>
      </w:pPr>
      <w:r w:rsidRPr="003736C3">
        <w:rPr>
          <w:b/>
          <w:bCs/>
        </w:rPr>
        <w:t>Brazil (2014): The Promise and Peril of Developing Nations</w:t>
      </w:r>
    </w:p>
    <w:p w14:paraId="69375189" w14:textId="77777777" w:rsidR="003736C3" w:rsidRPr="0049049D" w:rsidRDefault="003736C3" w:rsidP="003736C3">
      <w:pPr>
        <w:jc w:val="both"/>
      </w:pPr>
      <w:r w:rsidRPr="00846B65">
        <w:t>Brazil’s hosting of the 2014 World Cup was a story of bold ambition and high stakes. With over $11 billion invested, the country sought to cement its global image while addressing long-standing infrastructure gaps. However, the outcomes were mixed, as economic, social, and political challenges emerged.</w:t>
      </w:r>
    </w:p>
    <w:p w14:paraId="27790812" w14:textId="77777777" w:rsidR="003736C3" w:rsidRPr="003736C3" w:rsidRDefault="003736C3" w:rsidP="003736C3">
      <w:pPr>
        <w:jc w:val="both"/>
      </w:pPr>
    </w:p>
    <w:p w14:paraId="42CE8CFD" w14:textId="77777777" w:rsidR="003736C3" w:rsidRDefault="003736C3" w:rsidP="00495427">
      <w:pPr>
        <w:pStyle w:val="Heading3"/>
      </w:pPr>
      <w:r>
        <w:t>Economic Outcomes</w:t>
      </w:r>
      <w:r w:rsidR="00495427" w:rsidRPr="009C259A">
        <w:t xml:space="preserve">: </w:t>
      </w:r>
    </w:p>
    <w:p w14:paraId="0903AD51" w14:textId="77777777" w:rsidR="003736C3" w:rsidRPr="003736C3" w:rsidRDefault="003736C3" w:rsidP="00E644A9">
      <w:pPr>
        <w:pStyle w:val="ListParagraph"/>
        <w:numPr>
          <w:ilvl w:val="0"/>
          <w:numId w:val="8"/>
        </w:numPr>
      </w:pPr>
      <w:r w:rsidRPr="003736C3">
        <w:t xml:space="preserve">While over a million tourists attended, contributing to a temporary economic boost, the event left a mixed legacy. Research highlights underutilized "white elephant" stadiums like the $550 million </w:t>
      </w:r>
      <w:r w:rsidRPr="003736C3">
        <w:lastRenderedPageBreak/>
        <w:t xml:space="preserve">Mané Garrincha Stadium, which today serves limited functions </w:t>
      </w:r>
      <w:r w:rsidRPr="004A1B3F">
        <w:rPr>
          <w:i/>
        </w:rPr>
        <w:t>(</w:t>
      </w:r>
      <w:proofErr w:type="spellStart"/>
      <w:r w:rsidRPr="004A1B3F">
        <w:rPr>
          <w:i/>
        </w:rPr>
        <w:t>Subathra</w:t>
      </w:r>
      <w:proofErr w:type="spellEnd"/>
      <w:r w:rsidRPr="004A1B3F">
        <w:rPr>
          <w:i/>
        </w:rPr>
        <w:t xml:space="preserve"> et al., 2022)</w:t>
      </w:r>
      <w:r w:rsidRPr="003736C3">
        <w:t>.</w:t>
      </w:r>
    </w:p>
    <w:p w14:paraId="6D1CA303" w14:textId="77777777" w:rsidR="003736C3" w:rsidRPr="003736C3" w:rsidRDefault="003736C3" w:rsidP="00E644A9">
      <w:pPr>
        <w:pStyle w:val="ListParagraph"/>
        <w:numPr>
          <w:ilvl w:val="0"/>
          <w:numId w:val="8"/>
        </w:numPr>
      </w:pPr>
      <w:r w:rsidRPr="003736C3">
        <w:t>The event failed to generate the long-term economic revitalization anticipated, with certain regions experiencing financial strain due to poor planning and underperformance of post-event economic activities.</w:t>
      </w:r>
    </w:p>
    <w:p w14:paraId="6E2AF34F" w14:textId="77777777" w:rsidR="004A1B3F" w:rsidRPr="004A1B3F" w:rsidRDefault="004A1B3F" w:rsidP="004107FB">
      <w:pPr>
        <w:pStyle w:val="Heading3"/>
        <w:rPr>
          <w:i w:val="0"/>
          <w:iCs w:val="0"/>
        </w:rPr>
      </w:pPr>
      <w:r>
        <w:t>Social Impact</w:t>
      </w:r>
      <w:r w:rsidR="004107FB" w:rsidRPr="009C259A">
        <w:t>:</w:t>
      </w:r>
    </w:p>
    <w:p w14:paraId="5E73C9BF" w14:textId="77777777" w:rsidR="004A1B3F" w:rsidRPr="004A1B3F" w:rsidRDefault="004A1B3F" w:rsidP="00E644A9">
      <w:pPr>
        <w:pStyle w:val="ListParagraph"/>
        <w:numPr>
          <w:ilvl w:val="0"/>
          <w:numId w:val="9"/>
        </w:numPr>
      </w:pPr>
      <w:r w:rsidRPr="004A1B3F">
        <w:t xml:space="preserve">Nationwide protests revealed widespread dissatisfaction with prioritizing event spending over pressing societal needs such as healthcare and education </w:t>
      </w:r>
      <w:r w:rsidRPr="004A1B3F">
        <w:rPr>
          <w:i/>
        </w:rPr>
        <w:t>(Mitra, 2015).</w:t>
      </w:r>
    </w:p>
    <w:p w14:paraId="1B0F8D70" w14:textId="77777777" w:rsidR="004A1B3F" w:rsidRPr="004A1B3F" w:rsidRDefault="004A1B3F" w:rsidP="00E644A9">
      <w:pPr>
        <w:pStyle w:val="ListParagraph"/>
        <w:numPr>
          <w:ilvl w:val="0"/>
          <w:numId w:val="9"/>
        </w:numPr>
      </w:pPr>
      <w:r w:rsidRPr="004A1B3F">
        <w:t>Public perception shifted from enthusiasm to scepticism as the stark contrast between the opulence of the World Cup and poverty became apparent.</w:t>
      </w:r>
    </w:p>
    <w:p w14:paraId="59A0DE1B" w14:textId="185E7A27" w:rsidR="004A1B3F" w:rsidRPr="004A1B3F" w:rsidRDefault="004A1B3F" w:rsidP="004A1B3F">
      <w:pPr>
        <w:pStyle w:val="Heading3"/>
        <w:rPr>
          <w:i w:val="0"/>
          <w:iCs w:val="0"/>
        </w:rPr>
      </w:pPr>
      <w:r>
        <w:t>Environmental Considerations</w:t>
      </w:r>
      <w:r w:rsidRPr="009C259A">
        <w:t>:</w:t>
      </w:r>
    </w:p>
    <w:p w14:paraId="626E735F" w14:textId="5F1A54FF" w:rsidR="004A1B3F" w:rsidRDefault="004A1B3F" w:rsidP="00AF17E6">
      <w:pPr>
        <w:pStyle w:val="ListParagraph"/>
      </w:pPr>
      <w:r w:rsidRPr="004A1B3F">
        <w:t xml:space="preserve">The environmental cost of hosting the event, including large-scale deforestation for new stadiums and increased carbon emissions, was heavily criticized by environmental activists </w:t>
      </w:r>
      <w:r w:rsidRPr="004A1B3F">
        <w:rPr>
          <w:i/>
        </w:rPr>
        <w:t>(Fernandes &amp; Carvalho, 2016)</w:t>
      </w:r>
      <w:r>
        <w:t>.</w:t>
      </w:r>
    </w:p>
    <w:p w14:paraId="518875B8" w14:textId="64DE2FEA" w:rsidR="004A1B3F" w:rsidRPr="004A1B3F" w:rsidRDefault="004A1B3F" w:rsidP="004A1B3F">
      <w:pPr>
        <w:pStyle w:val="Heading3"/>
        <w:rPr>
          <w:i w:val="0"/>
          <w:iCs w:val="0"/>
        </w:rPr>
      </w:pPr>
      <w:r>
        <w:t>Key Lessons</w:t>
      </w:r>
      <w:r w:rsidRPr="009C259A">
        <w:t>:</w:t>
      </w:r>
    </w:p>
    <w:p w14:paraId="1E15C0E8" w14:textId="716B544E" w:rsidR="004A1B3F" w:rsidRDefault="004A1B3F" w:rsidP="00AB4907">
      <w:pPr>
        <w:jc w:val="both"/>
      </w:pPr>
      <w:r w:rsidRPr="004A1B3F">
        <w:t xml:space="preserve">Brazil’s experience underscores the risks developing nations face when the promise of global visibility overshadows </w:t>
      </w:r>
      <w:r w:rsidRPr="00AB4907">
        <w:rPr>
          <w:i/>
        </w:rPr>
        <w:t>strategic</w:t>
      </w:r>
      <w:r w:rsidRPr="004A1B3F">
        <w:t xml:space="preserve"> planning for long-term benefits. Transparency, efficient resource allocation, and prioritizing community needs over extravagant projects are critical for future hosts.</w:t>
      </w:r>
    </w:p>
    <w:p w14:paraId="0BE1A4EB" w14:textId="77777777" w:rsidR="00D512C1" w:rsidRPr="00D512C1" w:rsidRDefault="00D512C1" w:rsidP="00D512C1">
      <w:pPr>
        <w:pStyle w:val="Heading2"/>
        <w:rPr>
          <w:b/>
        </w:rPr>
      </w:pPr>
      <w:r w:rsidRPr="00D512C1">
        <w:rPr>
          <w:b/>
        </w:rPr>
        <w:t>Germany (2006): A Masterclass in Efficiency</w:t>
      </w:r>
    </w:p>
    <w:p w14:paraId="6A47EF22" w14:textId="77777777" w:rsidR="00AF17E6" w:rsidRPr="005F098D" w:rsidRDefault="00AF17E6" w:rsidP="00AF17E6">
      <w:pPr>
        <w:jc w:val="both"/>
      </w:pPr>
      <w:r w:rsidRPr="005F098D">
        <w:t>Germany’s hosting of the 2006 World Cup set the standard for leveraging existing strengths. With a $3.6 billion investment focused on upgrading existing facilities, Germany demonstrated how developed nations can use such events to solidify their global brand.</w:t>
      </w:r>
    </w:p>
    <w:p w14:paraId="7B6C98F1" w14:textId="77777777" w:rsidR="00D512C1" w:rsidRPr="003736C3" w:rsidRDefault="00D512C1" w:rsidP="00D512C1">
      <w:pPr>
        <w:jc w:val="both"/>
      </w:pPr>
    </w:p>
    <w:p w14:paraId="10344FD6" w14:textId="77777777" w:rsidR="00D512C1" w:rsidRDefault="00D512C1" w:rsidP="00D512C1">
      <w:pPr>
        <w:pStyle w:val="Heading3"/>
      </w:pPr>
      <w:r>
        <w:t>Economic Outcomes</w:t>
      </w:r>
      <w:r w:rsidRPr="009C259A">
        <w:t xml:space="preserve">: </w:t>
      </w:r>
    </w:p>
    <w:p w14:paraId="14344E45" w14:textId="77777777" w:rsidR="00AF17E6" w:rsidRPr="005F098D" w:rsidRDefault="00AF17E6" w:rsidP="00AF17E6">
      <w:pPr>
        <w:pStyle w:val="ListParagraph"/>
      </w:pPr>
      <w:r w:rsidRPr="005F098D">
        <w:t xml:space="preserve">Studies show that the tournament attracted over 2 million visitors, resulting in a sustained boost in tourism revenue, even years after the event </w:t>
      </w:r>
      <w:r w:rsidRPr="00AF17E6">
        <w:rPr>
          <w:i/>
        </w:rPr>
        <w:t>(Baumann &amp; Matheson, 2013).</w:t>
      </w:r>
    </w:p>
    <w:p w14:paraId="35AB6663" w14:textId="77777777" w:rsidR="00AF17E6" w:rsidRPr="005F098D" w:rsidRDefault="00AF17E6" w:rsidP="00AF17E6">
      <w:pPr>
        <w:pStyle w:val="ListParagraph"/>
      </w:pPr>
      <w:r w:rsidRPr="005F098D">
        <w:t>Long-term economic benefits included increased foreign investment and higher international trade activities, leveraging the global visibility gained.</w:t>
      </w:r>
    </w:p>
    <w:p w14:paraId="3F686F12" w14:textId="1A91794B" w:rsidR="00D512C1" w:rsidRPr="004A1B3F" w:rsidRDefault="00AF17E6" w:rsidP="00D512C1">
      <w:pPr>
        <w:pStyle w:val="Heading3"/>
        <w:rPr>
          <w:i w:val="0"/>
          <w:iCs w:val="0"/>
        </w:rPr>
      </w:pPr>
      <w:r>
        <w:t>Infrastructure Success</w:t>
      </w:r>
      <w:r w:rsidR="00D512C1" w:rsidRPr="009C259A">
        <w:t>:</w:t>
      </w:r>
    </w:p>
    <w:p w14:paraId="67714B39" w14:textId="77777777" w:rsidR="00AF17E6" w:rsidRPr="005F098D" w:rsidRDefault="00AF17E6" w:rsidP="00E644A9">
      <w:pPr>
        <w:pStyle w:val="ListParagraph"/>
        <w:numPr>
          <w:ilvl w:val="0"/>
          <w:numId w:val="12"/>
        </w:numPr>
        <w:jc w:val="start"/>
      </w:pPr>
      <w:r w:rsidRPr="005F098D">
        <w:t>Unlike Brazil, Germany utilized existing stadiums like the Allianz Arena, minimizing post-event maintenance burdens and ensuring long-term utility.</w:t>
      </w:r>
    </w:p>
    <w:p w14:paraId="005FAA12" w14:textId="77777777" w:rsidR="00AF17E6" w:rsidRPr="005F098D" w:rsidRDefault="00AF17E6" w:rsidP="00E644A9">
      <w:pPr>
        <w:pStyle w:val="ListParagraph"/>
        <w:numPr>
          <w:ilvl w:val="0"/>
          <w:numId w:val="12"/>
        </w:numPr>
        <w:jc w:val="start"/>
      </w:pPr>
      <w:r w:rsidRPr="005F098D">
        <w:t>The integration of modern technology and sustainable practices in infrastructure projects became a model for future hosts.</w:t>
      </w:r>
    </w:p>
    <w:p w14:paraId="71BDA0C6" w14:textId="369AC808" w:rsidR="00D512C1" w:rsidRPr="004A1B3F" w:rsidRDefault="00AF17E6" w:rsidP="00D512C1">
      <w:pPr>
        <w:pStyle w:val="Heading3"/>
        <w:rPr>
          <w:i w:val="0"/>
          <w:iCs w:val="0"/>
        </w:rPr>
      </w:pPr>
      <w:r>
        <w:t>Cultural Legacy</w:t>
      </w:r>
      <w:r w:rsidR="00D512C1" w:rsidRPr="009C259A">
        <w:t>:</w:t>
      </w:r>
    </w:p>
    <w:p w14:paraId="1779EB0B" w14:textId="77777777" w:rsidR="00AF17E6" w:rsidRPr="005F098D" w:rsidRDefault="00AF17E6" w:rsidP="00E644A9">
      <w:pPr>
        <w:pStyle w:val="ListParagraph"/>
        <w:numPr>
          <w:ilvl w:val="0"/>
          <w:numId w:val="11"/>
        </w:numPr>
      </w:pPr>
      <w:r w:rsidRPr="005F098D">
        <w:t xml:space="preserve">The 2006 World Cup fostered a sense of national pride and unity. Known as the </w:t>
      </w:r>
      <w:r w:rsidRPr="00AF17E6">
        <w:rPr>
          <w:b/>
        </w:rPr>
        <w:t>“Summer Fairytale”</w:t>
      </w:r>
      <w:r w:rsidRPr="005F098D">
        <w:t xml:space="preserve"> </w:t>
      </w:r>
      <w:r w:rsidRPr="00AF17E6">
        <w:rPr>
          <w:i/>
        </w:rPr>
        <w:t>(“</w:t>
      </w:r>
      <w:proofErr w:type="spellStart"/>
      <w:r w:rsidRPr="00AF17E6">
        <w:rPr>
          <w:i/>
        </w:rPr>
        <w:t>Sommermärchen</w:t>
      </w:r>
      <w:proofErr w:type="spellEnd"/>
      <w:r w:rsidRPr="00AF17E6">
        <w:rPr>
          <w:i/>
        </w:rPr>
        <w:t>”)</w:t>
      </w:r>
      <w:r w:rsidRPr="005F098D">
        <w:t>, the event contributed to Germany’s reputation as a welcoming and efficient host nation</w:t>
      </w:r>
      <w:r w:rsidRPr="00AF17E6">
        <w:rPr>
          <w:i/>
        </w:rPr>
        <w:t xml:space="preserve"> (Schmidt et al., 2018).</w:t>
      </w:r>
    </w:p>
    <w:p w14:paraId="78403295" w14:textId="77777777" w:rsidR="00D512C1" w:rsidRPr="004A1B3F" w:rsidRDefault="00D512C1" w:rsidP="00D512C1">
      <w:pPr>
        <w:pStyle w:val="Heading3"/>
        <w:rPr>
          <w:i w:val="0"/>
          <w:iCs w:val="0"/>
        </w:rPr>
      </w:pPr>
      <w:r>
        <w:t>Key Lessons</w:t>
      </w:r>
      <w:r w:rsidRPr="009C259A">
        <w:t>:</w:t>
      </w:r>
    </w:p>
    <w:p w14:paraId="48F7ABF6" w14:textId="749A5E0D" w:rsidR="00AF17E6" w:rsidRDefault="00AF17E6" w:rsidP="00AB4907">
      <w:pPr>
        <w:jc w:val="both"/>
      </w:pPr>
      <w:r w:rsidRPr="00AF17E6">
        <w:t>Germany’s experience illustrates the advantages of hosting within a well-developed economic ecosystem. Careful resource management and alignment with national strengths can create a legacy of sustained benefits.</w:t>
      </w:r>
    </w:p>
    <w:p w14:paraId="55B6B58E" w14:textId="77777777" w:rsidR="00AF17E6" w:rsidRPr="00AF17E6" w:rsidRDefault="00AF17E6" w:rsidP="00AF17E6">
      <w:pPr>
        <w:pStyle w:val="Heading2"/>
        <w:rPr>
          <w:b/>
        </w:rPr>
      </w:pPr>
      <w:r w:rsidRPr="00AF17E6">
        <w:rPr>
          <w:b/>
        </w:rPr>
        <w:t>South Africa (2010): A Landmark for Developing Nations</w:t>
      </w:r>
    </w:p>
    <w:p w14:paraId="42E6A6D5" w14:textId="77777777" w:rsidR="00AF17E6" w:rsidRPr="005F098D" w:rsidRDefault="00AF17E6" w:rsidP="00AF17E6">
      <w:pPr>
        <w:jc w:val="both"/>
      </w:pPr>
      <w:r w:rsidRPr="005F098D">
        <w:t>As the first African nation to host the FIFA World Cup, South Africa faced enormous expectations. With $4 billion spent on infrastructure, including the iconic Gautrain system, the event showcased Africa’s potential to host world-class events.</w:t>
      </w:r>
    </w:p>
    <w:p w14:paraId="74530612" w14:textId="77777777" w:rsidR="00AF17E6" w:rsidRPr="003736C3" w:rsidRDefault="00AF17E6" w:rsidP="00AF17E6">
      <w:pPr>
        <w:jc w:val="both"/>
      </w:pPr>
    </w:p>
    <w:p w14:paraId="301CD966" w14:textId="77777777" w:rsidR="00AF17E6" w:rsidRDefault="00AF17E6" w:rsidP="00AB4907">
      <w:pPr>
        <w:pStyle w:val="Heading3"/>
      </w:pPr>
      <w:r>
        <w:t>Economic Outcomes</w:t>
      </w:r>
      <w:r w:rsidRPr="009C259A">
        <w:t xml:space="preserve">: </w:t>
      </w:r>
    </w:p>
    <w:p w14:paraId="2EFFD7C2" w14:textId="77777777" w:rsidR="00AF17E6" w:rsidRPr="005F098D" w:rsidRDefault="00AF17E6" w:rsidP="00E644A9">
      <w:pPr>
        <w:pStyle w:val="ListParagraph"/>
        <w:numPr>
          <w:ilvl w:val="0"/>
          <w:numId w:val="11"/>
        </w:numPr>
      </w:pPr>
      <w:r w:rsidRPr="005F098D">
        <w:t xml:space="preserve">South Africa saw a 15% increase in international tourism during the event </w:t>
      </w:r>
      <w:r w:rsidRPr="00AF17E6">
        <w:rPr>
          <w:i/>
        </w:rPr>
        <w:t>(</w:t>
      </w:r>
      <w:proofErr w:type="spellStart"/>
      <w:r w:rsidRPr="00AF17E6">
        <w:rPr>
          <w:i/>
        </w:rPr>
        <w:t>Peeters</w:t>
      </w:r>
      <w:proofErr w:type="spellEnd"/>
      <w:r w:rsidRPr="00AF17E6">
        <w:rPr>
          <w:i/>
        </w:rPr>
        <w:t xml:space="preserve"> &amp; Matheson, 2014). </w:t>
      </w:r>
      <w:r w:rsidRPr="005F098D">
        <w:t>However, post-event economic gains were limited, with expensive stadiums like Cape Town Stadium contributing to ongoing financial strain.</w:t>
      </w:r>
    </w:p>
    <w:p w14:paraId="2804F290" w14:textId="77777777" w:rsidR="00AF17E6" w:rsidRPr="005F098D" w:rsidRDefault="00AF17E6" w:rsidP="00E644A9">
      <w:pPr>
        <w:pStyle w:val="ListParagraph"/>
        <w:numPr>
          <w:ilvl w:val="0"/>
          <w:numId w:val="11"/>
        </w:numPr>
      </w:pPr>
      <w:r w:rsidRPr="005F098D">
        <w:t>Small businesses and informal sectors experienced temporary gains but struggled to maintain momentum in the post-World Cup period.</w:t>
      </w:r>
    </w:p>
    <w:p w14:paraId="6BC2C770" w14:textId="604F3C61" w:rsidR="00AF17E6" w:rsidRPr="004A1B3F" w:rsidRDefault="00AF17E6" w:rsidP="00AB4907">
      <w:pPr>
        <w:pStyle w:val="Heading3"/>
        <w:rPr>
          <w:i w:val="0"/>
          <w:iCs w:val="0"/>
        </w:rPr>
      </w:pPr>
      <w:r>
        <w:t>Social Legacy</w:t>
      </w:r>
      <w:r w:rsidRPr="009C259A">
        <w:t>:</w:t>
      </w:r>
    </w:p>
    <w:p w14:paraId="427334D8" w14:textId="77777777" w:rsidR="00AF17E6" w:rsidRPr="005F098D" w:rsidRDefault="00AF17E6" w:rsidP="00E644A9">
      <w:pPr>
        <w:pStyle w:val="ListParagraph"/>
        <w:numPr>
          <w:ilvl w:val="0"/>
          <w:numId w:val="13"/>
        </w:numPr>
      </w:pPr>
      <w:r w:rsidRPr="005F098D">
        <w:t xml:space="preserve">The World Cup ignited national pride and fostered a positive global perception of South Africa. Despite challenges, it is often celebrated as a unifying milestone for the continent </w:t>
      </w:r>
      <w:r w:rsidRPr="00AF17E6">
        <w:rPr>
          <w:i/>
        </w:rPr>
        <w:t>(Harris, 2011).</w:t>
      </w:r>
    </w:p>
    <w:p w14:paraId="58BF2526" w14:textId="77777777" w:rsidR="00AF17E6" w:rsidRPr="005F098D" w:rsidRDefault="00AF17E6" w:rsidP="00E644A9">
      <w:pPr>
        <w:pStyle w:val="ListParagraph"/>
        <w:numPr>
          <w:ilvl w:val="0"/>
          <w:numId w:val="13"/>
        </w:numPr>
      </w:pPr>
      <w:r w:rsidRPr="005F098D">
        <w:t>Youth programs and community development initiatives were launched in conjunction with the event, creating some localized benefits.</w:t>
      </w:r>
    </w:p>
    <w:p w14:paraId="296220A7" w14:textId="7E8AAD4C" w:rsidR="00AF17E6" w:rsidRPr="004A1B3F" w:rsidRDefault="00AB4907" w:rsidP="00AB4907">
      <w:pPr>
        <w:pStyle w:val="Heading3"/>
        <w:rPr>
          <w:i w:val="0"/>
          <w:iCs w:val="0"/>
        </w:rPr>
      </w:pPr>
      <w:r>
        <w:t>Governance and Corruption</w:t>
      </w:r>
      <w:r w:rsidR="00AF17E6" w:rsidRPr="009C259A">
        <w:t>:</w:t>
      </w:r>
    </w:p>
    <w:p w14:paraId="283320D5" w14:textId="77777777" w:rsidR="00AB4907" w:rsidRPr="00AB4907" w:rsidRDefault="00AB4907" w:rsidP="00E644A9">
      <w:pPr>
        <w:pStyle w:val="ListParagraph"/>
        <w:numPr>
          <w:ilvl w:val="0"/>
          <w:numId w:val="14"/>
        </w:numPr>
        <w:rPr>
          <w:i/>
        </w:rPr>
      </w:pPr>
      <w:r w:rsidRPr="005F098D">
        <w:t>Reports of mismanagement and corruption during the planning stages highlight the critical need for accountability in such mega-events</w:t>
      </w:r>
      <w:r w:rsidRPr="00AB4907">
        <w:rPr>
          <w:i/>
        </w:rPr>
        <w:t xml:space="preserve"> (Silva et al., 2023).</w:t>
      </w:r>
    </w:p>
    <w:p w14:paraId="4C7F4599" w14:textId="77777777" w:rsidR="00AB4907" w:rsidRPr="005F098D" w:rsidRDefault="00AB4907" w:rsidP="00E644A9">
      <w:pPr>
        <w:pStyle w:val="ListParagraph"/>
        <w:numPr>
          <w:ilvl w:val="0"/>
          <w:numId w:val="14"/>
        </w:numPr>
      </w:pPr>
      <w:r w:rsidRPr="005F098D">
        <w:t>Lessons from South Africa emphasize the importance of inclusive governance and stakeholder engagement to ensure broader benefits.</w:t>
      </w:r>
    </w:p>
    <w:p w14:paraId="66D38CA3" w14:textId="3B28D806" w:rsidR="00AF17E6" w:rsidRPr="004A1B3F" w:rsidRDefault="00AB4907" w:rsidP="00AB4907">
      <w:pPr>
        <w:pStyle w:val="Heading3"/>
        <w:rPr>
          <w:i w:val="0"/>
          <w:iCs w:val="0"/>
        </w:rPr>
      </w:pPr>
      <w:r>
        <w:t>Envirtonmental Impact</w:t>
      </w:r>
      <w:r w:rsidR="00AF17E6" w:rsidRPr="009C259A">
        <w:t>:</w:t>
      </w:r>
    </w:p>
    <w:p w14:paraId="3B275439" w14:textId="7DEE06F2" w:rsidR="00AB4907" w:rsidRPr="00AB4907" w:rsidRDefault="00AB4907" w:rsidP="00E644A9">
      <w:pPr>
        <w:pStyle w:val="ListParagraph"/>
        <w:numPr>
          <w:ilvl w:val="0"/>
          <w:numId w:val="15"/>
        </w:numPr>
      </w:pPr>
      <w:r w:rsidRPr="005F098D">
        <w:t xml:space="preserve">Significant efforts were made to reduce carbon emissions through renewable energy projects and sustainable construction practices. However, implementation gaps reduced the overall effectiveness </w:t>
      </w:r>
      <w:r w:rsidRPr="00AB4907">
        <w:rPr>
          <w:i/>
        </w:rPr>
        <w:t>(Mabunda &amp; Khumalo, 2015).</w:t>
      </w:r>
    </w:p>
    <w:p w14:paraId="737DED4A" w14:textId="77777777" w:rsidR="00B4290F" w:rsidRPr="004A1B3F" w:rsidRDefault="00B4290F" w:rsidP="00B4290F">
      <w:pPr>
        <w:pStyle w:val="Heading3"/>
        <w:rPr>
          <w:i w:val="0"/>
          <w:iCs w:val="0"/>
        </w:rPr>
      </w:pPr>
      <w:r>
        <w:t>Key Lessons</w:t>
      </w:r>
      <w:r w:rsidRPr="009C259A">
        <w:t>:</w:t>
      </w:r>
    </w:p>
    <w:p w14:paraId="216DCDC5" w14:textId="77777777" w:rsidR="00B4290F" w:rsidRDefault="00B4290F" w:rsidP="00B4290F">
      <w:pPr>
        <w:jc w:val="both"/>
      </w:pPr>
      <w:r>
        <w:t>South Africa’s 2010 FIFA World Cup highlights the need for post-event planning, inclusive economic policies, transparent governance, and sustained youth and community programs. Prioritizing environmental sustainability, stakeholder engagement, and adaptive reuse of infrastructure can help maximize long-term benefits and maintain tourism momentum.</w:t>
      </w:r>
    </w:p>
    <w:p w14:paraId="2670A5C6" w14:textId="77777777" w:rsidR="00B4290F" w:rsidRPr="00AB4907" w:rsidRDefault="00B4290F" w:rsidP="00B4290F">
      <w:pPr>
        <w:jc w:val="both"/>
      </w:pPr>
    </w:p>
    <w:p w14:paraId="2DF9D0E5" w14:textId="77777777" w:rsidR="00AB4907" w:rsidRPr="00AB4907" w:rsidRDefault="00AB4907" w:rsidP="00AB4907">
      <w:pPr>
        <w:pStyle w:val="Heading2"/>
        <w:jc w:val="both"/>
        <w:rPr>
          <w:b/>
        </w:rPr>
      </w:pPr>
      <w:r w:rsidRPr="00AB4907">
        <w:rPr>
          <w:b/>
        </w:rPr>
        <w:t xml:space="preserve">Japan (2002): Technology and Global Collaboration </w:t>
      </w:r>
    </w:p>
    <w:p w14:paraId="119CBA44" w14:textId="77777777" w:rsidR="00AB4907" w:rsidRPr="008C5F32" w:rsidRDefault="00AB4907" w:rsidP="00AB4907">
      <w:pPr>
        <w:jc w:val="both"/>
      </w:pPr>
      <w:r w:rsidRPr="008C5F32">
        <w:t>Co-hosting the 2002 FIFA World Cup with South Korea, Japan demonstrated how innovation and international collaboration can enhance the impact of mega-events. With a $4.6 billion investment, Japan focused on high-tech infrastructure and delivering a seamless experience for both fans and athletes.</w:t>
      </w:r>
    </w:p>
    <w:p w14:paraId="284CBF6F" w14:textId="77777777" w:rsidR="00AB4907" w:rsidRPr="003736C3" w:rsidRDefault="00AB4907" w:rsidP="00AB4907">
      <w:pPr>
        <w:jc w:val="both"/>
      </w:pPr>
    </w:p>
    <w:p w14:paraId="2358D5CD" w14:textId="77777777" w:rsidR="00AB4907" w:rsidRDefault="00AB4907" w:rsidP="00AB4907">
      <w:pPr>
        <w:pStyle w:val="Heading3"/>
      </w:pPr>
      <w:r>
        <w:t>Economic Outcomes</w:t>
      </w:r>
      <w:r w:rsidRPr="009C259A">
        <w:t xml:space="preserve">: </w:t>
      </w:r>
    </w:p>
    <w:p w14:paraId="13E24504" w14:textId="77777777" w:rsidR="00AB4907" w:rsidRPr="00AB4907" w:rsidRDefault="00AB4907" w:rsidP="00E644A9">
      <w:pPr>
        <w:pStyle w:val="ListParagraph"/>
        <w:numPr>
          <w:ilvl w:val="0"/>
          <w:numId w:val="16"/>
        </w:numPr>
        <w:rPr>
          <w:i/>
        </w:rPr>
      </w:pPr>
      <w:r w:rsidRPr="008C5F32">
        <w:t xml:space="preserve">Japan saw a significant boost in tourism and international trade, with the World Cup showcasing its cutting-edge technology and organizational skills </w:t>
      </w:r>
      <w:r w:rsidRPr="00AB4907">
        <w:rPr>
          <w:i/>
        </w:rPr>
        <w:t>(Inoue &amp; Havard, 2004).</w:t>
      </w:r>
    </w:p>
    <w:p w14:paraId="6A7E795A" w14:textId="77777777" w:rsidR="00AB4907" w:rsidRPr="008C5F32" w:rsidRDefault="00AB4907" w:rsidP="00E644A9">
      <w:pPr>
        <w:pStyle w:val="ListParagraph"/>
        <w:numPr>
          <w:ilvl w:val="0"/>
          <w:numId w:val="16"/>
        </w:numPr>
      </w:pPr>
      <w:r w:rsidRPr="008C5F32">
        <w:t>Investments in transportation and stadium technology, such as retractable roofs, became long-term assets for the nation.</w:t>
      </w:r>
    </w:p>
    <w:p w14:paraId="409D3E13" w14:textId="70B91FD2" w:rsidR="00AB4907" w:rsidRPr="004A1B3F" w:rsidRDefault="00AB4907" w:rsidP="00AB4907">
      <w:pPr>
        <w:pStyle w:val="Heading3"/>
        <w:rPr>
          <w:i w:val="0"/>
          <w:iCs w:val="0"/>
        </w:rPr>
      </w:pPr>
      <w:r>
        <w:t>Technological and Infrastructure Success</w:t>
      </w:r>
      <w:r w:rsidRPr="009C259A">
        <w:t>:</w:t>
      </w:r>
    </w:p>
    <w:p w14:paraId="094B5A2D" w14:textId="77777777" w:rsidR="00AB4907" w:rsidRPr="008C5F32" w:rsidRDefault="00AB4907" w:rsidP="00E644A9">
      <w:pPr>
        <w:pStyle w:val="ListParagraph"/>
        <w:numPr>
          <w:ilvl w:val="0"/>
          <w:numId w:val="17"/>
        </w:numPr>
      </w:pPr>
      <w:r w:rsidRPr="008C5F32">
        <w:t>Japan leveraged the event to advance its global reputation for innovation. High-speed trains and state-of-the-art stadiums exemplified its technological prowess.</w:t>
      </w:r>
    </w:p>
    <w:p w14:paraId="2ACF2CE4" w14:textId="77777777" w:rsidR="00AB4907" w:rsidRPr="008C5F32" w:rsidRDefault="00AB4907" w:rsidP="00E644A9">
      <w:pPr>
        <w:pStyle w:val="ListParagraph"/>
        <w:numPr>
          <w:ilvl w:val="0"/>
          <w:numId w:val="17"/>
        </w:numPr>
      </w:pPr>
      <w:r w:rsidRPr="008C5F32">
        <w:t>Collaborative hosting with South Korea fostered diplomatic ties and regional cooperation.</w:t>
      </w:r>
    </w:p>
    <w:p w14:paraId="2483201E" w14:textId="0F90629D" w:rsidR="00AB4907" w:rsidRPr="004A1B3F" w:rsidRDefault="00AB4907" w:rsidP="00AB4907">
      <w:pPr>
        <w:pStyle w:val="Heading3"/>
        <w:rPr>
          <w:i w:val="0"/>
          <w:iCs w:val="0"/>
        </w:rPr>
      </w:pPr>
      <w:r>
        <w:t>Cultural Legacy</w:t>
      </w:r>
      <w:r w:rsidRPr="009C259A">
        <w:t>:</w:t>
      </w:r>
    </w:p>
    <w:p w14:paraId="49DB31E3" w14:textId="77777777" w:rsidR="00AB4907" w:rsidRPr="008C5F32" w:rsidRDefault="00AB4907" w:rsidP="00E644A9">
      <w:pPr>
        <w:pStyle w:val="ListParagraph"/>
        <w:numPr>
          <w:ilvl w:val="0"/>
          <w:numId w:val="18"/>
        </w:numPr>
      </w:pPr>
      <w:r w:rsidRPr="008C5F32">
        <w:t>The event enhanced Japan’s image as a global leader in technology and hospitality, bolstering tourism for years to follow.</w:t>
      </w:r>
    </w:p>
    <w:p w14:paraId="064BB4F7" w14:textId="733E5958" w:rsidR="00AB4907" w:rsidRPr="004A1B3F" w:rsidRDefault="00AB4907" w:rsidP="00AB4907">
      <w:pPr>
        <w:pStyle w:val="Heading3"/>
        <w:rPr>
          <w:i w:val="0"/>
          <w:iCs w:val="0"/>
        </w:rPr>
      </w:pPr>
      <w:r>
        <w:t>Key Lessons</w:t>
      </w:r>
      <w:r w:rsidRPr="009C259A">
        <w:t>:</w:t>
      </w:r>
    </w:p>
    <w:p w14:paraId="3CF60DA2" w14:textId="4A071B86" w:rsidR="00AB4907" w:rsidRDefault="00AB4907" w:rsidP="00AB4907">
      <w:pPr>
        <w:jc w:val="both"/>
      </w:pPr>
      <w:r w:rsidRPr="008C5F32">
        <w:t>Japan’s meticulous planning, emphasis on technological innovation, and regional collaboration highlight the importance of leveraging unique strengths to maximize the benefits of hosting mega-events.</w:t>
      </w:r>
    </w:p>
    <w:p w14:paraId="0DB7BA4D" w14:textId="5C72CE8C" w:rsidR="00B4290F" w:rsidRDefault="00B4290F" w:rsidP="00AB4907">
      <w:pPr>
        <w:jc w:val="both"/>
      </w:pPr>
    </w:p>
    <w:p w14:paraId="6BDCD827" w14:textId="3338DB7D" w:rsidR="00B4290F" w:rsidRPr="00B4290F" w:rsidRDefault="00B4290F" w:rsidP="00B4290F">
      <w:pPr>
        <w:pStyle w:val="Heading2"/>
        <w:jc w:val="both"/>
        <w:rPr>
          <w:b/>
        </w:rPr>
      </w:pPr>
      <w:r w:rsidRPr="001A6AD0">
        <w:rPr>
          <w:b/>
          <w:bCs/>
          <w:i w:val="0"/>
        </w:rPr>
        <w:t>Comparative Insights</w:t>
      </w:r>
      <w:r w:rsidRPr="00AB4907">
        <w:rPr>
          <w:b/>
        </w:rPr>
        <w:t xml:space="preserve"> </w:t>
      </w:r>
    </w:p>
    <w:p w14:paraId="125D5398" w14:textId="58EEE1D0" w:rsidR="00B4290F" w:rsidRDefault="00B4290F" w:rsidP="00B4290F">
      <w:pPr>
        <w:pStyle w:val="Heading3"/>
      </w:pPr>
      <w:r>
        <w:t>Economic Dynamic</w:t>
      </w:r>
      <w:r w:rsidRPr="009C259A">
        <w:t xml:space="preserve">: </w:t>
      </w:r>
    </w:p>
    <w:p w14:paraId="340756DD" w14:textId="77777777" w:rsidR="00B4290F" w:rsidRPr="001A6AD0" w:rsidRDefault="00B4290F" w:rsidP="00E644A9">
      <w:pPr>
        <w:pStyle w:val="ListParagraph"/>
        <w:numPr>
          <w:ilvl w:val="0"/>
          <w:numId w:val="19"/>
        </w:numPr>
      </w:pPr>
      <w:r w:rsidRPr="001A6AD0">
        <w:rPr>
          <w:rFonts w:eastAsiaTheme="majorEastAsia"/>
          <w:b/>
          <w:bCs/>
          <w:color w:val="000000" w:themeColor="text1"/>
        </w:rPr>
        <w:t xml:space="preserve">Germany and Japan: </w:t>
      </w:r>
      <w:r w:rsidRPr="001A6AD0">
        <w:t>Both countries leveraged existing strengths to achieve long-term economic gains. Germany’s resource efficiency and Japan’s technological innovation created enduring benefits.</w:t>
      </w:r>
    </w:p>
    <w:p w14:paraId="189C2891" w14:textId="77777777" w:rsidR="00B4290F" w:rsidRPr="001A6AD0" w:rsidRDefault="00B4290F" w:rsidP="00E644A9">
      <w:pPr>
        <w:pStyle w:val="ListParagraph"/>
        <w:numPr>
          <w:ilvl w:val="0"/>
          <w:numId w:val="19"/>
        </w:numPr>
      </w:pPr>
      <w:r w:rsidRPr="001A6AD0">
        <w:rPr>
          <w:rFonts w:eastAsiaTheme="majorEastAsia"/>
          <w:b/>
          <w:bCs/>
          <w:color w:val="000000" w:themeColor="text1"/>
        </w:rPr>
        <w:t xml:space="preserve">Brazil &amp; South Africa: </w:t>
      </w:r>
      <w:r w:rsidRPr="001A6AD0">
        <w:t>High infrastructure spending led to short-term economic benefits but posed long-term challenges, particularly with underutilized facilities.</w:t>
      </w:r>
    </w:p>
    <w:p w14:paraId="7D295380" w14:textId="16221188" w:rsidR="00B4290F" w:rsidRPr="008C5F32" w:rsidRDefault="00B4290F" w:rsidP="00B4290F">
      <w:pPr>
        <w:pStyle w:val="ListParagraph"/>
        <w:numPr>
          <w:ilvl w:val="0"/>
          <w:numId w:val="0"/>
        </w:numPr>
        <w:ind w:start="36pt"/>
      </w:pPr>
      <w:r w:rsidRPr="008C5F32">
        <w:t>.</w:t>
      </w:r>
    </w:p>
    <w:p w14:paraId="357551F5" w14:textId="433A28D0" w:rsidR="00B4290F" w:rsidRPr="004A1B3F" w:rsidRDefault="00B4290F" w:rsidP="00B4290F">
      <w:pPr>
        <w:pStyle w:val="Heading3"/>
        <w:rPr>
          <w:i w:val="0"/>
          <w:iCs w:val="0"/>
        </w:rPr>
      </w:pPr>
      <w:r>
        <w:t>Infrastructure and Technology</w:t>
      </w:r>
      <w:r w:rsidRPr="009C259A">
        <w:t>:</w:t>
      </w:r>
    </w:p>
    <w:p w14:paraId="717E95ED" w14:textId="77777777" w:rsidR="00B4290F" w:rsidRPr="001A6AD0" w:rsidRDefault="00B4290F" w:rsidP="00E644A9">
      <w:pPr>
        <w:pStyle w:val="ListParagraph"/>
        <w:numPr>
          <w:ilvl w:val="0"/>
          <w:numId w:val="20"/>
        </w:numPr>
      </w:pPr>
      <w:r w:rsidRPr="001A6AD0">
        <w:rPr>
          <w:rFonts w:eastAsiaTheme="majorEastAsia"/>
          <w:b/>
          <w:bCs/>
          <w:color w:val="000000" w:themeColor="text1"/>
        </w:rPr>
        <w:t xml:space="preserve">Germany and Japan: </w:t>
      </w:r>
      <w:r w:rsidRPr="001A6AD0">
        <w:t>Exemplary use of existing facilities and innovative designs minimized costs and enhanced sustainability.</w:t>
      </w:r>
    </w:p>
    <w:p w14:paraId="204A9BB6" w14:textId="77777777" w:rsidR="00B4290F" w:rsidRPr="001A6AD0" w:rsidRDefault="00B4290F" w:rsidP="00E644A9">
      <w:pPr>
        <w:pStyle w:val="ListParagraph"/>
        <w:numPr>
          <w:ilvl w:val="0"/>
          <w:numId w:val="20"/>
        </w:numPr>
      </w:pPr>
      <w:r w:rsidRPr="001A6AD0">
        <w:rPr>
          <w:rFonts w:eastAsiaTheme="majorEastAsia"/>
          <w:b/>
          <w:bCs/>
          <w:color w:val="000000" w:themeColor="text1"/>
        </w:rPr>
        <w:t xml:space="preserve">Brazil &amp; South Africa: </w:t>
      </w:r>
      <w:r w:rsidRPr="001A6AD0">
        <w:t>Investments in new facilities were often underutilized post-event, contributing to economic strain.</w:t>
      </w:r>
    </w:p>
    <w:p w14:paraId="692747DE" w14:textId="1277BA7B" w:rsidR="00B4290F" w:rsidRPr="004A1B3F" w:rsidRDefault="00B4290F" w:rsidP="00B4290F">
      <w:pPr>
        <w:pStyle w:val="Heading3"/>
        <w:rPr>
          <w:i w:val="0"/>
          <w:iCs w:val="0"/>
        </w:rPr>
      </w:pPr>
      <w:r>
        <w:t>Social and Political Challenges</w:t>
      </w:r>
      <w:r w:rsidRPr="009C259A">
        <w:t>:</w:t>
      </w:r>
    </w:p>
    <w:p w14:paraId="4180C5FC" w14:textId="77777777" w:rsidR="00B4290F" w:rsidRPr="001A6AD0" w:rsidRDefault="00B4290F" w:rsidP="00E644A9">
      <w:pPr>
        <w:pStyle w:val="ListParagraph"/>
        <w:numPr>
          <w:ilvl w:val="0"/>
          <w:numId w:val="21"/>
        </w:numPr>
      </w:pPr>
      <w:r w:rsidRPr="001A6AD0">
        <w:rPr>
          <w:rFonts w:eastAsiaTheme="majorEastAsia"/>
          <w:b/>
          <w:bCs/>
          <w:color w:val="000000" w:themeColor="text1"/>
        </w:rPr>
        <w:t xml:space="preserve">Brazil &amp; South Africa: </w:t>
      </w:r>
      <w:r w:rsidRPr="001A6AD0">
        <w:t>Developing nations grappled with public dissatisfaction and governance issues, including corruption and mismanagement.</w:t>
      </w:r>
    </w:p>
    <w:p w14:paraId="04382B51" w14:textId="77777777" w:rsidR="00B4290F" w:rsidRPr="001A6AD0" w:rsidRDefault="00B4290F" w:rsidP="00E644A9">
      <w:pPr>
        <w:pStyle w:val="ListParagraph"/>
        <w:numPr>
          <w:ilvl w:val="0"/>
          <w:numId w:val="21"/>
        </w:numPr>
      </w:pPr>
      <w:r w:rsidRPr="001A6AD0">
        <w:rPr>
          <w:rFonts w:eastAsiaTheme="majorEastAsia"/>
          <w:b/>
          <w:bCs/>
          <w:color w:val="000000" w:themeColor="text1"/>
        </w:rPr>
        <w:t xml:space="preserve">Germany and Japan: </w:t>
      </w:r>
      <w:r w:rsidRPr="001A6AD0">
        <w:t>Developed nations benefited from political stability, established systems, and strong institutional frameworks, avoiding major controversies.</w:t>
      </w:r>
    </w:p>
    <w:p w14:paraId="5CEC42B1" w14:textId="32D72208" w:rsidR="00B4290F" w:rsidRDefault="00B4290F" w:rsidP="00B4290F">
      <w:pPr>
        <w:pStyle w:val="Heading3"/>
      </w:pPr>
      <w:r>
        <w:t>Tourism Impact</w:t>
      </w:r>
      <w:r w:rsidRPr="009C259A">
        <w:t>:</w:t>
      </w:r>
    </w:p>
    <w:p w14:paraId="21E18CA2" w14:textId="2C724E92" w:rsidR="00B4290F" w:rsidRDefault="00B4290F" w:rsidP="00B4290F">
      <w:pPr>
        <w:pStyle w:val="ListParagraph"/>
      </w:pPr>
      <w:r w:rsidRPr="001A6AD0">
        <w:t>All four countries experienced significant tourist inflows, but sustained tourism gains were more pronounced in Germany and Japan, owing to their strong global brands and strategic planning.</w:t>
      </w:r>
    </w:p>
    <w:p w14:paraId="383D0904" w14:textId="42E7B57C" w:rsidR="00B4290F" w:rsidRDefault="00B4290F" w:rsidP="00B4290F">
      <w:pPr>
        <w:pStyle w:val="Heading3"/>
      </w:pPr>
      <w:r>
        <w:t>Environmental Considerations:</w:t>
      </w:r>
    </w:p>
    <w:p w14:paraId="45EE8CF2" w14:textId="77777777" w:rsidR="00B4290F" w:rsidRPr="001A6AD0" w:rsidRDefault="00B4290F" w:rsidP="00E644A9">
      <w:pPr>
        <w:pStyle w:val="ListParagraph"/>
        <w:numPr>
          <w:ilvl w:val="0"/>
          <w:numId w:val="22"/>
        </w:numPr>
      </w:pPr>
      <w:r w:rsidRPr="001A6AD0">
        <w:rPr>
          <w:rFonts w:eastAsiaTheme="majorEastAsia"/>
          <w:b/>
          <w:bCs/>
          <w:color w:val="000000" w:themeColor="text1"/>
        </w:rPr>
        <w:t xml:space="preserve">Germany and Japan: </w:t>
      </w:r>
      <w:r w:rsidRPr="001A6AD0">
        <w:t>Focused on sustainable practices and minimal environmental disruption.</w:t>
      </w:r>
    </w:p>
    <w:p w14:paraId="6BA1E944" w14:textId="77777777" w:rsidR="00B4290F" w:rsidRPr="001A6AD0" w:rsidRDefault="00B4290F" w:rsidP="00E644A9">
      <w:pPr>
        <w:pStyle w:val="ListParagraph"/>
        <w:numPr>
          <w:ilvl w:val="0"/>
          <w:numId w:val="22"/>
        </w:numPr>
      </w:pPr>
      <w:r w:rsidRPr="001A6AD0">
        <w:rPr>
          <w:rFonts w:eastAsiaTheme="majorEastAsia"/>
          <w:b/>
          <w:bCs/>
          <w:color w:val="000000" w:themeColor="text1"/>
        </w:rPr>
        <w:t xml:space="preserve">Brazil &amp; South Africa: </w:t>
      </w:r>
      <w:r w:rsidRPr="001A6AD0">
        <w:t>Faced criticism for high environmental costs and limited mitigation efforts.</w:t>
      </w:r>
    </w:p>
    <w:p w14:paraId="4E2A4038" w14:textId="77777777" w:rsidR="00B4290F" w:rsidRPr="00B4290F" w:rsidRDefault="00B4290F" w:rsidP="00B4290F"/>
    <w:p w14:paraId="5FA540EE" w14:textId="16409D30" w:rsidR="00B4290F" w:rsidRPr="00B4290F" w:rsidRDefault="00B4290F" w:rsidP="00AD16A0">
      <w:pPr>
        <w:pStyle w:val="Heading2"/>
        <w:jc w:val="both"/>
        <w:rPr>
          <w:b/>
        </w:rPr>
      </w:pPr>
      <w:r>
        <w:rPr>
          <w:b/>
          <w:bCs/>
          <w:i w:val="0"/>
        </w:rPr>
        <w:t>Broader Lessons for Future Hosts</w:t>
      </w:r>
      <w:r w:rsidRPr="00AB4907">
        <w:rPr>
          <w:b/>
        </w:rPr>
        <w:t xml:space="preserve"> </w:t>
      </w:r>
    </w:p>
    <w:p w14:paraId="61B8DF7F" w14:textId="678B9886" w:rsidR="00B4290F" w:rsidRDefault="00B4290F" w:rsidP="00AD16A0">
      <w:pPr>
        <w:pStyle w:val="Heading3"/>
      </w:pPr>
      <w:r>
        <w:t>Strategic Planning</w:t>
      </w:r>
      <w:r w:rsidRPr="009C259A">
        <w:t xml:space="preserve">: </w:t>
      </w:r>
    </w:p>
    <w:p w14:paraId="5A9D2F87" w14:textId="77777777" w:rsidR="00B4290F" w:rsidRPr="001A6AD0" w:rsidRDefault="00B4290F" w:rsidP="00E644A9">
      <w:pPr>
        <w:pStyle w:val="ListParagraph"/>
        <w:numPr>
          <w:ilvl w:val="0"/>
          <w:numId w:val="23"/>
        </w:numPr>
      </w:pPr>
      <w:r w:rsidRPr="001A6AD0">
        <w:t>Align event goals with national development priorities to ensure sustainable outcomes.</w:t>
      </w:r>
    </w:p>
    <w:p w14:paraId="2CD1F2B6" w14:textId="4943A5BD" w:rsidR="00B4290F" w:rsidRPr="008C5F32" w:rsidRDefault="00B4290F" w:rsidP="00E644A9">
      <w:pPr>
        <w:pStyle w:val="ListParagraph"/>
        <w:numPr>
          <w:ilvl w:val="0"/>
          <w:numId w:val="23"/>
        </w:numPr>
      </w:pPr>
      <w:r w:rsidRPr="001A6AD0">
        <w:t>Focus on upgrading existing infrastructure rather than building new facilities unless absolutely necessary</w:t>
      </w:r>
      <w:r>
        <w:t>.</w:t>
      </w:r>
    </w:p>
    <w:p w14:paraId="3D83ECEB" w14:textId="77777777" w:rsidR="00B4290F" w:rsidRPr="001A6AD0" w:rsidRDefault="00B4290F" w:rsidP="00AD16A0">
      <w:pPr>
        <w:pStyle w:val="Heading3"/>
      </w:pPr>
      <w:r w:rsidRPr="001A6AD0">
        <w:t>Community Inclusion:</w:t>
      </w:r>
    </w:p>
    <w:p w14:paraId="0924BB61" w14:textId="77777777" w:rsidR="00B4290F" w:rsidRPr="001A6AD0" w:rsidRDefault="00B4290F" w:rsidP="00E644A9">
      <w:pPr>
        <w:pStyle w:val="ListParagraph"/>
        <w:numPr>
          <w:ilvl w:val="0"/>
          <w:numId w:val="24"/>
        </w:numPr>
      </w:pPr>
      <w:r w:rsidRPr="001A6AD0">
        <w:t>Engage local communities early in the planning process to align with their needs and expectations.</w:t>
      </w:r>
    </w:p>
    <w:p w14:paraId="61354111" w14:textId="77777777" w:rsidR="00B4290F" w:rsidRPr="001A6AD0" w:rsidRDefault="00B4290F" w:rsidP="00E644A9">
      <w:pPr>
        <w:pStyle w:val="ListParagraph"/>
        <w:numPr>
          <w:ilvl w:val="0"/>
          <w:numId w:val="24"/>
        </w:numPr>
      </w:pPr>
      <w:r w:rsidRPr="001A6AD0">
        <w:t>Develop initiatives that ensure tangible benefits for marginalized groups.</w:t>
      </w:r>
    </w:p>
    <w:p w14:paraId="09E31848" w14:textId="77777777" w:rsidR="00AD16A0" w:rsidRPr="001A6AD0" w:rsidRDefault="00AD16A0" w:rsidP="00AD16A0">
      <w:pPr>
        <w:pStyle w:val="Heading3"/>
      </w:pPr>
      <w:r w:rsidRPr="001A6AD0">
        <w:t>Environmental Responsibility:</w:t>
      </w:r>
    </w:p>
    <w:p w14:paraId="682729A4" w14:textId="77777777" w:rsidR="00AD16A0" w:rsidRPr="001A6AD0" w:rsidRDefault="00AD16A0" w:rsidP="00E644A9">
      <w:pPr>
        <w:pStyle w:val="ListParagraph"/>
        <w:numPr>
          <w:ilvl w:val="0"/>
          <w:numId w:val="26"/>
        </w:numPr>
      </w:pPr>
      <w:r w:rsidRPr="001A6AD0">
        <w:t>Emphasize eco-friendly practices in infrastructure development and event management to minimize environmental harm.</w:t>
      </w:r>
    </w:p>
    <w:p w14:paraId="41756E37" w14:textId="77777777" w:rsidR="00AD16A0" w:rsidRPr="001A6AD0" w:rsidRDefault="00AD16A0" w:rsidP="00AD16A0">
      <w:pPr>
        <w:pStyle w:val="Heading3"/>
      </w:pPr>
      <w:r w:rsidRPr="001A6AD0">
        <w:t>Governance and Accountability:</w:t>
      </w:r>
    </w:p>
    <w:p w14:paraId="51121490" w14:textId="77777777" w:rsidR="00AD16A0" w:rsidRPr="001A6AD0" w:rsidRDefault="00AD16A0" w:rsidP="00E644A9">
      <w:pPr>
        <w:pStyle w:val="ListParagraph"/>
        <w:numPr>
          <w:ilvl w:val="0"/>
          <w:numId w:val="25"/>
        </w:numPr>
      </w:pPr>
      <w:r w:rsidRPr="001A6AD0">
        <w:t>Strengthen oversight mechanisms to mitigate corruption and ensure transparent use of resources.</w:t>
      </w:r>
    </w:p>
    <w:p w14:paraId="3DABB752" w14:textId="77777777" w:rsidR="00AD16A0" w:rsidRPr="001A6AD0" w:rsidRDefault="00AD16A0" w:rsidP="00E644A9">
      <w:pPr>
        <w:pStyle w:val="ListParagraph"/>
        <w:numPr>
          <w:ilvl w:val="0"/>
          <w:numId w:val="25"/>
        </w:numPr>
      </w:pPr>
      <w:r w:rsidRPr="001A6AD0">
        <w:t>Adopt participatory governance models to incorporate diverse stakeholder voices.</w:t>
      </w:r>
    </w:p>
    <w:p w14:paraId="7FA4AAEA" w14:textId="77777777" w:rsidR="00AD16A0" w:rsidRPr="001A6AD0" w:rsidRDefault="00AD16A0" w:rsidP="00AD16A0">
      <w:pPr>
        <w:pStyle w:val="Heading3"/>
      </w:pPr>
      <w:r w:rsidRPr="001A6AD0">
        <w:t>Conclusion</w:t>
      </w:r>
    </w:p>
    <w:p w14:paraId="6B3DC2F3" w14:textId="412B1C91" w:rsidR="00AD16A0" w:rsidRDefault="00AD16A0" w:rsidP="00AD16A0">
      <w:pPr>
        <w:jc w:val="both"/>
      </w:pPr>
      <w:r w:rsidRPr="001A6AD0">
        <w:t>The experiences of Brazil, Germany, South Africa, and Japan offer valuable lessons for future FIFA World Cup hosts. Developed nations like Germany and Japan demonstrate the advantages of leveraging existing strengths and innovation for sustained economic impact. In contrast, developing nations must carefully balance ambition with long-term sustainability to avoid economic strain. By integrating strategic planning, inclusive governance, and environmental responsibility, future host nations can transform the FIFA World Cup into a catalyst for enduring positive change and global recognition.</w:t>
      </w:r>
    </w:p>
    <w:p w14:paraId="2DF3CCA8" w14:textId="7CFF04AC" w:rsidR="00AD16A0" w:rsidRDefault="00AD16A0" w:rsidP="00AD16A0">
      <w:pPr>
        <w:jc w:val="both"/>
      </w:pPr>
    </w:p>
    <w:p w14:paraId="1B14C01D" w14:textId="7E4D5FE5" w:rsidR="00AD16A0" w:rsidRDefault="00AD16A0" w:rsidP="00AD16A0">
      <w:pPr>
        <w:pStyle w:val="Heading1"/>
        <w:rPr>
          <w:bCs/>
        </w:rPr>
      </w:pPr>
      <w:r w:rsidRPr="00AD16A0">
        <w:rPr>
          <w:bCs/>
        </w:rPr>
        <w:lastRenderedPageBreak/>
        <w:t>Research Methodology</w:t>
      </w:r>
    </w:p>
    <w:p w14:paraId="5B76C14E" w14:textId="0AA32DD0" w:rsidR="00617357" w:rsidRPr="00617357" w:rsidRDefault="00617357" w:rsidP="00617357">
      <w:pPr>
        <w:pStyle w:val="NormalWeb"/>
        <w:rPr>
          <w:sz w:val="20"/>
        </w:rPr>
      </w:pPr>
      <w:r w:rsidRPr="00617357">
        <w:rPr>
          <w:sz w:val="20"/>
        </w:rPr>
        <w:t>To uncover the short-term economic impact of hosting the FIFA World Cup, we ran two OLS</w:t>
      </w:r>
      <w:r>
        <w:rPr>
          <w:sz w:val="20"/>
        </w:rPr>
        <w:t xml:space="preserve"> (</w:t>
      </w:r>
      <w:r w:rsidRPr="00617357">
        <w:rPr>
          <w:sz w:val="20"/>
        </w:rPr>
        <w:t>Ordinary Least Squares)</w:t>
      </w:r>
      <w:r w:rsidRPr="00617357">
        <w:rPr>
          <w:sz w:val="16"/>
        </w:rPr>
        <w:t xml:space="preserve"> </w:t>
      </w:r>
      <w:r w:rsidRPr="00617357">
        <w:rPr>
          <w:sz w:val="20"/>
        </w:rPr>
        <w:t>regressions for each host nation: one for the three years leading up to the event and another for the event year plus the following three years. This approach highlights immediate economic shifts, as long-term impacts are harder to quantify. The data—spanning unemployment, inflation, GDP growth, and more—was sourced from multiple research papers and economic databases, ensuring accuracy and depth. We tackled multicollinearity (e.g., the tight link between inflation and unemployment) using a collinearity matrix to keep results precise and reliable. Finally, we brought the numbers to life with dynamic visualizations using Python's Plotly and Matplotlib libraries, making trends around the World Cup easy to grasp and explore.</w:t>
      </w:r>
    </w:p>
    <w:p w14:paraId="205B5DA9" w14:textId="17E7B110" w:rsidR="00AD16A0" w:rsidRDefault="00AD16A0" w:rsidP="00AD16A0">
      <w:pPr>
        <w:jc w:val="both"/>
      </w:pPr>
    </w:p>
    <w:p w14:paraId="0E2BDEB5" w14:textId="77777777" w:rsidR="00AD16A0" w:rsidRPr="00844368" w:rsidRDefault="00AD16A0" w:rsidP="00AD16A0">
      <w:pPr>
        <w:pStyle w:val="Heading2"/>
      </w:pPr>
      <w:r w:rsidRPr="00844368">
        <w:t xml:space="preserve">Regression Analysis for Germany </w:t>
      </w:r>
    </w:p>
    <w:p w14:paraId="2E806192" w14:textId="77777777" w:rsidR="00AD16A0" w:rsidRPr="00AD16A0" w:rsidRDefault="00AD16A0" w:rsidP="00AD16A0">
      <w:pPr>
        <w:jc w:val="both"/>
      </w:pPr>
    </w:p>
    <w:p w14:paraId="053D3B8A" w14:textId="60C2A2D0" w:rsidR="00E62CC1" w:rsidRPr="00844368" w:rsidRDefault="00E62CC1" w:rsidP="00E644A9">
      <w:pPr>
        <w:pStyle w:val="tablehead"/>
      </w:pPr>
      <w:r>
        <w:t>Germany Prior to the 2006 W</w:t>
      </w:r>
      <w:r w:rsidR="000F344D">
        <w:t>or</w:t>
      </w:r>
      <w:r>
        <w:t>ld Cup</w:t>
      </w:r>
    </w:p>
    <w:tbl>
      <w:tblPr>
        <w:tblStyle w:val="TableGrid"/>
        <w:tblW w:w="0pt" w:type="dxa"/>
        <w:tblBorders>
          <w:start w:val="none" w:sz="0" w:space="0" w:color="auto"/>
          <w:end w:val="none" w:sz="0" w:space="0" w:color="auto"/>
          <w:insideV w:val="none" w:sz="0" w:space="0" w:color="auto"/>
        </w:tblBorders>
        <w:tblLook w:firstRow="1" w:lastRow="0" w:firstColumn="1" w:lastColumn="0" w:noHBand="0" w:noVBand="1"/>
      </w:tblPr>
      <w:tblGrid>
        <w:gridCol w:w="1198"/>
        <w:gridCol w:w="754"/>
        <w:gridCol w:w="970"/>
        <w:gridCol w:w="898"/>
        <w:gridCol w:w="220"/>
        <w:gridCol w:w="826"/>
      </w:tblGrid>
      <w:tr w:rsidR="00C33A97" w:rsidRPr="00844368" w14:paraId="36D350BC" w14:textId="77777777" w:rsidTr="00C33A97">
        <w:tc>
          <w:tcPr>
            <w:tcW w:w="59.90pt" w:type="dxa"/>
            <w:tcBorders>
              <w:top w:val="single" w:sz="8" w:space="0" w:color="auto"/>
              <w:bottom w:val="single" w:sz="8" w:space="0" w:color="auto"/>
            </w:tcBorders>
          </w:tcPr>
          <w:p w14:paraId="1921D9FA" w14:textId="77777777" w:rsidR="00C33A97" w:rsidRPr="00844368" w:rsidRDefault="00C33A97" w:rsidP="00E86CFE">
            <w:pPr>
              <w:rPr>
                <w:rFonts w:ascii="Times New Roman" w:hAnsi="Times New Roman" w:cs="Times New Roman"/>
                <w:i/>
                <w:sz w:val="20"/>
                <w:szCs w:val="20"/>
              </w:rPr>
            </w:pPr>
            <w:r w:rsidRPr="00844368">
              <w:rPr>
                <w:rFonts w:ascii="Times New Roman" w:hAnsi="Times New Roman" w:cs="Times New Roman"/>
                <w:i/>
                <w:sz w:val="20"/>
                <w:szCs w:val="20"/>
              </w:rPr>
              <w:t>Variable</w:t>
            </w:r>
          </w:p>
        </w:tc>
        <w:tc>
          <w:tcPr>
            <w:tcW w:w="37.70pt" w:type="dxa"/>
            <w:tcBorders>
              <w:top w:val="single" w:sz="8" w:space="0" w:color="auto"/>
              <w:bottom w:val="single" w:sz="8" w:space="0" w:color="auto"/>
            </w:tcBorders>
          </w:tcPr>
          <w:p w14:paraId="42B4122E" w14:textId="77777777" w:rsidR="00C33A97" w:rsidRPr="00844368" w:rsidRDefault="00C33A97" w:rsidP="00E86CFE">
            <w:pPr>
              <w:rPr>
                <w:rFonts w:ascii="Times New Roman" w:hAnsi="Times New Roman" w:cs="Times New Roman"/>
                <w:i/>
                <w:sz w:val="20"/>
                <w:szCs w:val="20"/>
              </w:rPr>
            </w:pPr>
            <w:r w:rsidRPr="00844368">
              <w:rPr>
                <w:rFonts w:ascii="Times New Roman" w:hAnsi="Times New Roman" w:cs="Times New Roman"/>
                <w:i/>
                <w:sz w:val="20"/>
                <w:szCs w:val="20"/>
              </w:rPr>
              <w:t>Co-efficient</w:t>
            </w:r>
          </w:p>
        </w:tc>
        <w:tc>
          <w:tcPr>
            <w:tcW w:w="48.50pt" w:type="dxa"/>
            <w:tcBorders>
              <w:top w:val="single" w:sz="8" w:space="0" w:color="auto"/>
              <w:bottom w:val="single" w:sz="8" w:space="0" w:color="auto"/>
            </w:tcBorders>
          </w:tcPr>
          <w:p w14:paraId="112A37B2" w14:textId="77777777" w:rsidR="00C33A97" w:rsidRPr="00844368" w:rsidRDefault="00C33A97" w:rsidP="00E86CFE">
            <w:pPr>
              <w:rPr>
                <w:rFonts w:ascii="Times New Roman" w:hAnsi="Times New Roman" w:cs="Times New Roman"/>
                <w:i/>
                <w:sz w:val="20"/>
                <w:szCs w:val="20"/>
              </w:rPr>
            </w:pPr>
            <w:r w:rsidRPr="00844368">
              <w:rPr>
                <w:rFonts w:ascii="Times New Roman" w:hAnsi="Times New Roman" w:cs="Times New Roman"/>
                <w:i/>
                <w:sz w:val="20"/>
                <w:szCs w:val="20"/>
              </w:rPr>
              <w:t>Error</w:t>
            </w:r>
          </w:p>
        </w:tc>
        <w:tc>
          <w:tcPr>
            <w:tcW w:w="44.90pt" w:type="dxa"/>
            <w:tcBorders>
              <w:top w:val="single" w:sz="8" w:space="0" w:color="auto"/>
              <w:bottom w:val="single" w:sz="8" w:space="0" w:color="auto"/>
            </w:tcBorders>
          </w:tcPr>
          <w:p w14:paraId="1BA757FF" w14:textId="77777777" w:rsidR="00C33A97" w:rsidRPr="00844368" w:rsidRDefault="00C33A97" w:rsidP="00E86CFE">
            <w:pPr>
              <w:rPr>
                <w:rFonts w:ascii="Times New Roman" w:hAnsi="Times New Roman" w:cs="Times New Roman"/>
                <w:i/>
                <w:sz w:val="20"/>
                <w:szCs w:val="20"/>
              </w:rPr>
            </w:pPr>
            <w:r w:rsidRPr="00844368">
              <w:rPr>
                <w:rFonts w:ascii="Times New Roman" w:hAnsi="Times New Roman" w:cs="Times New Roman"/>
                <w:i/>
                <w:sz w:val="20"/>
                <w:szCs w:val="20"/>
              </w:rPr>
              <w:t>t-Stat</w:t>
            </w:r>
          </w:p>
        </w:tc>
        <w:tc>
          <w:tcPr>
            <w:tcW w:w="11pt" w:type="dxa"/>
            <w:tcBorders>
              <w:top w:val="single" w:sz="8" w:space="0" w:color="auto"/>
              <w:bottom w:val="single" w:sz="8" w:space="0" w:color="auto"/>
            </w:tcBorders>
          </w:tcPr>
          <w:p w14:paraId="0085C87C" w14:textId="77777777" w:rsidR="00C33A97" w:rsidRPr="00844368" w:rsidRDefault="00C33A97" w:rsidP="00E86CFE">
            <w:pPr>
              <w:rPr>
                <w:i/>
              </w:rPr>
            </w:pPr>
          </w:p>
        </w:tc>
        <w:tc>
          <w:tcPr>
            <w:tcW w:w="41.30pt" w:type="dxa"/>
            <w:tcBorders>
              <w:top w:val="single" w:sz="8" w:space="0" w:color="auto"/>
              <w:bottom w:val="single" w:sz="8" w:space="0" w:color="auto"/>
            </w:tcBorders>
          </w:tcPr>
          <w:p w14:paraId="7DE78B2E" w14:textId="3FDF9C8E" w:rsidR="00C33A97" w:rsidRPr="00844368" w:rsidRDefault="00C33A97" w:rsidP="00E86CFE">
            <w:pPr>
              <w:rPr>
                <w:rFonts w:ascii="Times New Roman" w:hAnsi="Times New Roman" w:cs="Times New Roman"/>
                <w:i/>
                <w:sz w:val="20"/>
                <w:szCs w:val="20"/>
              </w:rPr>
            </w:pPr>
            <w:r w:rsidRPr="00844368">
              <w:rPr>
                <w:rFonts w:ascii="Times New Roman" w:hAnsi="Times New Roman" w:cs="Times New Roman"/>
                <w:i/>
                <w:sz w:val="20"/>
                <w:szCs w:val="20"/>
              </w:rPr>
              <w:t>P-value</w:t>
            </w:r>
          </w:p>
        </w:tc>
      </w:tr>
      <w:tr w:rsidR="00C33A97" w:rsidRPr="00844368" w14:paraId="5BDE1C77" w14:textId="77777777" w:rsidTr="00C33A97">
        <w:tc>
          <w:tcPr>
            <w:tcW w:w="59.90pt" w:type="dxa"/>
            <w:tcBorders>
              <w:top w:val="single" w:sz="8" w:space="0" w:color="auto"/>
              <w:bottom w:val="nil"/>
            </w:tcBorders>
          </w:tcPr>
          <w:p w14:paraId="63CCFADC"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Intercept</w:t>
            </w:r>
          </w:p>
        </w:tc>
        <w:tc>
          <w:tcPr>
            <w:tcW w:w="37.70pt" w:type="dxa"/>
            <w:tcBorders>
              <w:top w:val="single" w:sz="8" w:space="0" w:color="auto"/>
              <w:bottom w:val="nil"/>
            </w:tcBorders>
          </w:tcPr>
          <w:p w14:paraId="49C0BD76"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601.8578</w:t>
            </w:r>
          </w:p>
        </w:tc>
        <w:tc>
          <w:tcPr>
            <w:tcW w:w="48.50pt" w:type="dxa"/>
            <w:tcBorders>
              <w:top w:val="single" w:sz="8" w:space="0" w:color="auto"/>
              <w:bottom w:val="nil"/>
            </w:tcBorders>
          </w:tcPr>
          <w:p w14:paraId="02313528"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79.49876059</w:t>
            </w:r>
          </w:p>
        </w:tc>
        <w:tc>
          <w:tcPr>
            <w:tcW w:w="44.90pt" w:type="dxa"/>
            <w:tcBorders>
              <w:top w:val="single" w:sz="8" w:space="0" w:color="auto"/>
              <w:bottom w:val="nil"/>
            </w:tcBorders>
          </w:tcPr>
          <w:p w14:paraId="34D0F87A"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7.57065681</w:t>
            </w:r>
          </w:p>
        </w:tc>
        <w:tc>
          <w:tcPr>
            <w:tcW w:w="11pt" w:type="dxa"/>
            <w:tcBorders>
              <w:top w:val="single" w:sz="8" w:space="0" w:color="auto"/>
              <w:bottom w:val="nil"/>
            </w:tcBorders>
          </w:tcPr>
          <w:p w14:paraId="7EB803AB" w14:textId="77777777" w:rsidR="00C33A97" w:rsidRPr="00844368" w:rsidRDefault="00C33A97" w:rsidP="00E86CFE"/>
        </w:tc>
        <w:tc>
          <w:tcPr>
            <w:tcW w:w="41.30pt" w:type="dxa"/>
            <w:tcBorders>
              <w:top w:val="single" w:sz="8" w:space="0" w:color="auto"/>
              <w:bottom w:val="nil"/>
            </w:tcBorders>
          </w:tcPr>
          <w:p w14:paraId="4FD93BF6" w14:textId="2768E8CF"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0.0001294</w:t>
            </w:r>
          </w:p>
        </w:tc>
      </w:tr>
      <w:tr w:rsidR="00C33A97" w:rsidRPr="00844368" w14:paraId="3BE14F5D" w14:textId="77777777" w:rsidTr="00C33A97">
        <w:tc>
          <w:tcPr>
            <w:tcW w:w="59.90pt" w:type="dxa"/>
            <w:tcBorders>
              <w:top w:val="nil"/>
              <w:bottom w:val="nil"/>
            </w:tcBorders>
          </w:tcPr>
          <w:p w14:paraId="72F6E1BC"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Inflation (%)</w:t>
            </w:r>
          </w:p>
        </w:tc>
        <w:tc>
          <w:tcPr>
            <w:tcW w:w="37.70pt" w:type="dxa"/>
            <w:tcBorders>
              <w:top w:val="nil"/>
              <w:bottom w:val="nil"/>
            </w:tcBorders>
          </w:tcPr>
          <w:p w14:paraId="043EE7B4"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24.08469</w:t>
            </w:r>
          </w:p>
        </w:tc>
        <w:tc>
          <w:tcPr>
            <w:tcW w:w="48.50pt" w:type="dxa"/>
            <w:tcBorders>
              <w:top w:val="nil"/>
              <w:bottom w:val="nil"/>
            </w:tcBorders>
          </w:tcPr>
          <w:p w14:paraId="7C4BA859"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9.998329535</w:t>
            </w:r>
          </w:p>
        </w:tc>
        <w:tc>
          <w:tcPr>
            <w:tcW w:w="44.90pt" w:type="dxa"/>
            <w:tcBorders>
              <w:top w:val="nil"/>
              <w:bottom w:val="nil"/>
            </w:tcBorders>
          </w:tcPr>
          <w:p w14:paraId="7D8654DD"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2.40887186</w:t>
            </w:r>
          </w:p>
        </w:tc>
        <w:tc>
          <w:tcPr>
            <w:tcW w:w="11pt" w:type="dxa"/>
            <w:tcBorders>
              <w:top w:val="nil"/>
              <w:bottom w:val="nil"/>
            </w:tcBorders>
          </w:tcPr>
          <w:p w14:paraId="4B999585" w14:textId="77777777" w:rsidR="00C33A97" w:rsidRPr="00844368" w:rsidRDefault="00C33A97" w:rsidP="00E86CFE"/>
        </w:tc>
        <w:tc>
          <w:tcPr>
            <w:tcW w:w="41.30pt" w:type="dxa"/>
            <w:tcBorders>
              <w:top w:val="nil"/>
              <w:bottom w:val="nil"/>
            </w:tcBorders>
          </w:tcPr>
          <w:p w14:paraId="2572B047" w14:textId="7471C4D8"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0.0468515</w:t>
            </w:r>
          </w:p>
        </w:tc>
      </w:tr>
      <w:tr w:rsidR="00C33A97" w:rsidRPr="00844368" w14:paraId="7E551ED0" w14:textId="77777777" w:rsidTr="00C33A97">
        <w:tc>
          <w:tcPr>
            <w:tcW w:w="59.90pt" w:type="dxa"/>
            <w:tcBorders>
              <w:top w:val="nil"/>
              <w:bottom w:val="nil"/>
            </w:tcBorders>
          </w:tcPr>
          <w:p w14:paraId="4DAE65C5"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Unemployment (%)</w:t>
            </w:r>
          </w:p>
        </w:tc>
        <w:tc>
          <w:tcPr>
            <w:tcW w:w="37.70pt" w:type="dxa"/>
            <w:tcBorders>
              <w:top w:val="nil"/>
              <w:bottom w:val="nil"/>
            </w:tcBorders>
          </w:tcPr>
          <w:p w14:paraId="36831F3E"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3</w:t>
            </w:r>
          </w:p>
        </w:tc>
        <w:tc>
          <w:tcPr>
            <w:tcW w:w="48.50pt" w:type="dxa"/>
            <w:tcBorders>
              <w:top w:val="nil"/>
              <w:bottom w:val="nil"/>
            </w:tcBorders>
          </w:tcPr>
          <w:p w14:paraId="5F525DD8"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7.878059083</w:t>
            </w:r>
          </w:p>
        </w:tc>
        <w:tc>
          <w:tcPr>
            <w:tcW w:w="44.90pt" w:type="dxa"/>
            <w:tcBorders>
              <w:top w:val="nil"/>
              <w:bottom w:val="nil"/>
            </w:tcBorders>
          </w:tcPr>
          <w:p w14:paraId="75E71CE1"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-0.5904352</w:t>
            </w:r>
          </w:p>
        </w:tc>
        <w:tc>
          <w:tcPr>
            <w:tcW w:w="11pt" w:type="dxa"/>
            <w:tcBorders>
              <w:top w:val="nil"/>
              <w:bottom w:val="nil"/>
            </w:tcBorders>
          </w:tcPr>
          <w:p w14:paraId="3B7C49A3" w14:textId="77777777" w:rsidR="00C33A97" w:rsidRPr="00844368" w:rsidRDefault="00C33A97" w:rsidP="00E86CFE"/>
        </w:tc>
        <w:tc>
          <w:tcPr>
            <w:tcW w:w="41.30pt" w:type="dxa"/>
            <w:tcBorders>
              <w:top w:val="nil"/>
              <w:bottom w:val="nil"/>
            </w:tcBorders>
          </w:tcPr>
          <w:p w14:paraId="3E4BD5C8" w14:textId="5E09DD51"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0.5734583</w:t>
            </w:r>
          </w:p>
        </w:tc>
      </w:tr>
      <w:tr w:rsidR="00C33A97" w:rsidRPr="00844368" w14:paraId="68669789" w14:textId="77777777" w:rsidTr="00C33A97">
        <w:tc>
          <w:tcPr>
            <w:tcW w:w="59.90pt" w:type="dxa"/>
            <w:tcBorders>
              <w:top w:val="nil"/>
              <w:bottom w:val="nil"/>
            </w:tcBorders>
          </w:tcPr>
          <w:p w14:paraId="228C0481"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Investment in Infrastructure (billion)</w:t>
            </w:r>
          </w:p>
        </w:tc>
        <w:tc>
          <w:tcPr>
            <w:tcW w:w="37.70pt" w:type="dxa"/>
            <w:tcBorders>
              <w:top w:val="nil"/>
              <w:bottom w:val="nil"/>
            </w:tcBorders>
          </w:tcPr>
          <w:p w14:paraId="709594EA"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255.1371</w:t>
            </w:r>
          </w:p>
        </w:tc>
        <w:tc>
          <w:tcPr>
            <w:tcW w:w="48.50pt" w:type="dxa"/>
            <w:tcBorders>
              <w:top w:val="nil"/>
              <w:bottom w:val="nil"/>
            </w:tcBorders>
          </w:tcPr>
          <w:p w14:paraId="357EBCDC"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105.3036933</w:t>
            </w:r>
          </w:p>
        </w:tc>
        <w:tc>
          <w:tcPr>
            <w:tcW w:w="44.90pt" w:type="dxa"/>
            <w:tcBorders>
              <w:top w:val="nil"/>
              <w:bottom w:val="nil"/>
            </w:tcBorders>
          </w:tcPr>
          <w:p w14:paraId="5A201478"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2.42287027</w:t>
            </w:r>
          </w:p>
        </w:tc>
        <w:tc>
          <w:tcPr>
            <w:tcW w:w="11pt" w:type="dxa"/>
            <w:tcBorders>
              <w:top w:val="nil"/>
              <w:bottom w:val="nil"/>
            </w:tcBorders>
          </w:tcPr>
          <w:p w14:paraId="6D648958" w14:textId="77777777" w:rsidR="00C33A97" w:rsidRPr="00844368" w:rsidRDefault="00C33A97" w:rsidP="00E86CFE"/>
        </w:tc>
        <w:tc>
          <w:tcPr>
            <w:tcW w:w="41.30pt" w:type="dxa"/>
            <w:tcBorders>
              <w:top w:val="nil"/>
              <w:bottom w:val="nil"/>
            </w:tcBorders>
          </w:tcPr>
          <w:p w14:paraId="1BBE238D" w14:textId="2A21CA8F"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0.0458983</w:t>
            </w:r>
          </w:p>
        </w:tc>
      </w:tr>
      <w:tr w:rsidR="00C33A97" w:rsidRPr="00844368" w14:paraId="5E25B521" w14:textId="77777777" w:rsidTr="00C33A97">
        <w:tc>
          <w:tcPr>
            <w:tcW w:w="59.90pt" w:type="dxa"/>
            <w:tcBorders>
              <w:top w:val="nil"/>
              <w:bottom w:val="single" w:sz="8" w:space="0" w:color="auto"/>
            </w:tcBorders>
          </w:tcPr>
          <w:p w14:paraId="42D04F44"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Investment in stadium(billions)</w:t>
            </w:r>
          </w:p>
        </w:tc>
        <w:tc>
          <w:tcPr>
            <w:tcW w:w="37.70pt" w:type="dxa"/>
            <w:tcBorders>
              <w:top w:val="nil"/>
              <w:bottom w:val="single" w:sz="8" w:space="0" w:color="auto"/>
            </w:tcBorders>
          </w:tcPr>
          <w:p w14:paraId="4C7DBE24"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8</w:t>
            </w:r>
          </w:p>
        </w:tc>
        <w:tc>
          <w:tcPr>
            <w:tcW w:w="48.50pt" w:type="dxa"/>
            <w:tcBorders>
              <w:top w:val="nil"/>
              <w:bottom w:val="single" w:sz="8" w:space="0" w:color="auto"/>
            </w:tcBorders>
          </w:tcPr>
          <w:p w14:paraId="0EF44E23"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105.1581814</w:t>
            </w:r>
          </w:p>
        </w:tc>
        <w:tc>
          <w:tcPr>
            <w:tcW w:w="44.90pt" w:type="dxa"/>
            <w:tcBorders>
              <w:top w:val="nil"/>
              <w:bottom w:val="single" w:sz="8" w:space="0" w:color="auto"/>
            </w:tcBorders>
          </w:tcPr>
          <w:p w14:paraId="4D664D23" w14:textId="77777777"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-1.9117372</w:t>
            </w:r>
          </w:p>
        </w:tc>
        <w:tc>
          <w:tcPr>
            <w:tcW w:w="11pt" w:type="dxa"/>
            <w:tcBorders>
              <w:top w:val="nil"/>
              <w:bottom w:val="single" w:sz="8" w:space="0" w:color="auto"/>
            </w:tcBorders>
          </w:tcPr>
          <w:p w14:paraId="25D4E3E5" w14:textId="77777777" w:rsidR="00C33A97" w:rsidRPr="00844368" w:rsidRDefault="00C33A97" w:rsidP="00E86CFE"/>
        </w:tc>
        <w:tc>
          <w:tcPr>
            <w:tcW w:w="41.30pt" w:type="dxa"/>
            <w:tcBorders>
              <w:top w:val="nil"/>
              <w:bottom w:val="single" w:sz="8" w:space="0" w:color="auto"/>
            </w:tcBorders>
          </w:tcPr>
          <w:p w14:paraId="68AA08EF" w14:textId="44F5D40E" w:rsidR="00C33A97" w:rsidRPr="00844368" w:rsidRDefault="00C33A97" w:rsidP="00E86CFE">
            <w:pPr>
              <w:rPr>
                <w:rFonts w:ascii="Times New Roman" w:hAnsi="Times New Roman" w:cs="Times New Roman"/>
                <w:sz w:val="20"/>
                <w:szCs w:val="20"/>
              </w:rPr>
            </w:pPr>
            <w:r w:rsidRPr="00844368">
              <w:rPr>
                <w:rFonts w:ascii="Times New Roman" w:hAnsi="Times New Roman" w:cs="Times New Roman"/>
                <w:sz w:val="20"/>
                <w:szCs w:val="20"/>
              </w:rPr>
              <w:t>0.0975080</w:t>
            </w:r>
          </w:p>
        </w:tc>
      </w:tr>
    </w:tbl>
    <w:p w14:paraId="67A299F0" w14:textId="77777777" w:rsidR="00E62CC1" w:rsidRPr="00844368" w:rsidRDefault="00E62CC1" w:rsidP="00C33A97">
      <w:pPr>
        <w:pStyle w:val="tablehead"/>
        <w:numPr>
          <w:ilvl w:val="0"/>
          <w:numId w:val="0"/>
        </w:numPr>
        <w:jc w:val="both"/>
      </w:pPr>
    </w:p>
    <w:tbl>
      <w:tblPr>
        <w:tblStyle w:val="TableGrid"/>
        <w:tblW w:w="0pt" w:type="dxa"/>
        <w:tblBorders>
          <w:top w:val="none" w:sz="0" w:space="0" w:color="auto"/>
          <w:start w:val="none" w:sz="0" w:space="0" w:color="auto"/>
          <w:end w:val="none" w:sz="0" w:space="0" w:color="auto"/>
          <w:insideH w:val="none" w:sz="0" w:space="0" w:color="auto"/>
          <w:insideV w:val="none" w:sz="0" w:space="0" w:color="auto"/>
        </w:tblBorders>
        <w:tblLook w:firstRow="1" w:lastRow="0" w:firstColumn="1" w:lastColumn="0" w:noHBand="0" w:noVBand="1"/>
      </w:tblPr>
      <w:tblGrid>
        <w:gridCol w:w="1648"/>
        <w:gridCol w:w="3218"/>
      </w:tblGrid>
      <w:tr w:rsidR="00E62CC1" w:rsidRPr="00844368" w14:paraId="1E466F3A" w14:textId="77777777" w:rsidTr="00C33A97">
        <w:trPr>
          <w:trHeight w:val="253"/>
        </w:trPr>
        <w:tc>
          <w:tcPr>
            <w:tcW w:w="82.40pt" w:type="dxa"/>
          </w:tcPr>
          <w:p w14:paraId="63F87C0E" w14:textId="77777777" w:rsidR="00E62CC1" w:rsidRPr="00844368" w:rsidRDefault="00E62CC1" w:rsidP="00E86CFE">
            <w:pPr>
              <w:rPr>
                <w:rFonts w:ascii="Times New Roman" w:hAnsi="Times New Roman" w:cs="Times New Roman"/>
                <w:sz w:val="20"/>
                <w:szCs w:val="20"/>
              </w:rPr>
            </w:pPr>
            <w:r w:rsidRPr="00844368">
              <w:rPr>
                <w:rFonts w:ascii="Times New Roman" w:hAnsi="Times New Roman" w:cs="Times New Roman"/>
                <w:sz w:val="20"/>
                <w:szCs w:val="20"/>
              </w:rPr>
              <w:t xml:space="preserve">R-Squared                     </w:t>
            </w:r>
          </w:p>
        </w:tc>
        <w:tc>
          <w:tcPr>
            <w:tcW w:w="160.90pt" w:type="dxa"/>
          </w:tcPr>
          <w:p w14:paraId="4EBC0631" w14:textId="77777777" w:rsidR="00E62CC1" w:rsidRPr="00844368" w:rsidRDefault="00E62CC1" w:rsidP="00E86CFE">
            <w:pPr>
              <w:rPr>
                <w:rFonts w:ascii="Times New Roman" w:hAnsi="Times New Roman" w:cs="Times New Roman"/>
                <w:sz w:val="20"/>
                <w:szCs w:val="20"/>
              </w:rPr>
            </w:pPr>
            <w:r w:rsidRPr="00844368">
              <w:rPr>
                <w:rFonts w:ascii="Times New Roman" w:hAnsi="Times New Roman" w:cs="Times New Roman"/>
                <w:sz w:val="20"/>
                <w:szCs w:val="20"/>
              </w:rPr>
              <w:t>0.7236225</w:t>
            </w:r>
          </w:p>
        </w:tc>
      </w:tr>
      <w:tr w:rsidR="00E62CC1" w:rsidRPr="00844368" w14:paraId="1A7263FB" w14:textId="77777777" w:rsidTr="00C33A97">
        <w:trPr>
          <w:trHeight w:val="253"/>
        </w:trPr>
        <w:tc>
          <w:tcPr>
            <w:tcW w:w="82.40pt" w:type="dxa"/>
          </w:tcPr>
          <w:p w14:paraId="0F25CD5A" w14:textId="77777777" w:rsidR="00E62CC1" w:rsidRPr="00844368" w:rsidRDefault="00E62CC1" w:rsidP="00E86CFE">
            <w:pPr>
              <w:rPr>
                <w:rFonts w:ascii="Times New Roman" w:hAnsi="Times New Roman" w:cs="Times New Roman"/>
                <w:sz w:val="20"/>
                <w:szCs w:val="20"/>
              </w:rPr>
            </w:pPr>
            <w:r w:rsidRPr="00844368">
              <w:rPr>
                <w:rFonts w:ascii="Times New Roman" w:hAnsi="Times New Roman" w:cs="Times New Roman"/>
                <w:sz w:val="20"/>
                <w:szCs w:val="20"/>
              </w:rPr>
              <w:t xml:space="preserve">Adjusted R-Squared    </w:t>
            </w:r>
          </w:p>
        </w:tc>
        <w:tc>
          <w:tcPr>
            <w:tcW w:w="160.90pt" w:type="dxa"/>
            <w:tcBorders>
              <w:bottom w:val="nil"/>
            </w:tcBorders>
          </w:tcPr>
          <w:p w14:paraId="3843C1E6" w14:textId="77777777" w:rsidR="00E62CC1" w:rsidRPr="00844368" w:rsidRDefault="00E62CC1" w:rsidP="00E86CFE">
            <w:pPr>
              <w:rPr>
                <w:rFonts w:ascii="Times New Roman" w:hAnsi="Times New Roman" w:cs="Times New Roman"/>
                <w:sz w:val="20"/>
                <w:szCs w:val="20"/>
              </w:rPr>
            </w:pPr>
            <w:r w:rsidRPr="00844368">
              <w:rPr>
                <w:rFonts w:ascii="Times New Roman" w:hAnsi="Times New Roman" w:cs="Times New Roman"/>
                <w:sz w:val="20"/>
                <w:szCs w:val="20"/>
              </w:rPr>
              <w:t>0.5262100</w:t>
            </w:r>
          </w:p>
        </w:tc>
      </w:tr>
      <w:tr w:rsidR="00E62CC1" w:rsidRPr="00844368" w14:paraId="2F77BF64" w14:textId="77777777" w:rsidTr="00C33A97">
        <w:trPr>
          <w:trHeight w:val="282"/>
        </w:trPr>
        <w:tc>
          <w:tcPr>
            <w:tcW w:w="82.40pt" w:type="dxa"/>
            <w:tcBorders>
              <w:bottom w:val="single" w:sz="8" w:space="0" w:color="auto"/>
            </w:tcBorders>
          </w:tcPr>
          <w:p w14:paraId="31725C57" w14:textId="77777777" w:rsidR="00E62CC1" w:rsidRPr="00844368" w:rsidRDefault="00E62CC1" w:rsidP="00E86CFE">
            <w:pPr>
              <w:rPr>
                <w:rFonts w:ascii="Times New Roman" w:hAnsi="Times New Roman" w:cs="Times New Roman"/>
                <w:sz w:val="20"/>
                <w:szCs w:val="20"/>
              </w:rPr>
            </w:pPr>
            <w:r w:rsidRPr="00844368">
              <w:rPr>
                <w:rFonts w:ascii="Times New Roman" w:hAnsi="Times New Roman" w:cs="Times New Roman"/>
                <w:sz w:val="20"/>
                <w:szCs w:val="20"/>
              </w:rPr>
              <w:t xml:space="preserve">S.E. of Regression        </w:t>
            </w:r>
          </w:p>
        </w:tc>
        <w:tc>
          <w:tcPr>
            <w:tcW w:w="160.90pt" w:type="dxa"/>
            <w:tcBorders>
              <w:bottom w:val="single" w:sz="4" w:space="0" w:color="auto"/>
            </w:tcBorders>
          </w:tcPr>
          <w:p w14:paraId="0B4D4C60" w14:textId="77777777" w:rsidR="00E62CC1" w:rsidRPr="00844368" w:rsidRDefault="00E62CC1" w:rsidP="00E86CFE">
            <w:pPr>
              <w:rPr>
                <w:rFonts w:ascii="Times New Roman" w:hAnsi="Times New Roman" w:cs="Times New Roman"/>
                <w:sz w:val="20"/>
                <w:szCs w:val="20"/>
              </w:rPr>
            </w:pPr>
            <w:r w:rsidRPr="00844368">
              <w:rPr>
                <w:rFonts w:ascii="Times New Roman" w:hAnsi="Times New Roman" w:cs="Times New Roman"/>
                <w:sz w:val="20"/>
                <w:szCs w:val="20"/>
              </w:rPr>
              <w:t>12.438448</w:t>
            </w:r>
          </w:p>
        </w:tc>
      </w:tr>
    </w:tbl>
    <w:p w14:paraId="6333F281" w14:textId="5AEB1B06" w:rsidR="00C33A97" w:rsidRDefault="00C33A97" w:rsidP="00C33A97">
      <w:pPr>
        <w:pStyle w:val="tablehead"/>
        <w:numPr>
          <w:ilvl w:val="0"/>
          <w:numId w:val="0"/>
        </w:numPr>
        <w:jc w:val="both"/>
      </w:pPr>
    </w:p>
    <w:p w14:paraId="67EFA4A0" w14:textId="358318BD" w:rsidR="00C33A97" w:rsidRPr="00844368" w:rsidRDefault="00C33A97" w:rsidP="00C33A97">
      <w:pPr>
        <w:jc w:val="both"/>
      </w:pPr>
      <w:r w:rsidRPr="00844368">
        <w:t>Prior German GDP = 601.86 + 24.08(inflation) + 10.99(tourism) - 4.65(unemployment) - 201.03(stadium) + 255.14(other)</w:t>
      </w:r>
      <w:r>
        <w:t xml:space="preserve">                                                                    (i)</w:t>
      </w:r>
    </w:p>
    <w:p w14:paraId="7AAE900F" w14:textId="1298314A" w:rsidR="004107FB" w:rsidRDefault="004107FB" w:rsidP="00C33A97">
      <w:pPr>
        <w:pStyle w:val="Heading3"/>
        <w:numPr>
          <w:ilvl w:val="0"/>
          <w:numId w:val="0"/>
        </w:numPr>
        <w:rPr>
          <w:i w:val="0"/>
          <w:iCs w:val="0"/>
        </w:rPr>
      </w:pPr>
    </w:p>
    <w:p w14:paraId="73A790C3" w14:textId="7E698179" w:rsidR="00C33A97" w:rsidRDefault="00C33A97" w:rsidP="00C33A97"/>
    <w:p w14:paraId="3098E9E2" w14:textId="609F09E5" w:rsidR="00C33A97" w:rsidRDefault="00C33A97" w:rsidP="00C33A97">
      <w:r w:rsidRPr="00844368">
        <w:rPr>
          <w:noProof/>
        </w:rPr>
        <w:drawing>
          <wp:inline distT="0" distB="0" distL="0" distR="0" wp14:anchorId="504B6F0E" wp14:editId="33E9EDEF">
            <wp:extent cx="3089910" cy="1843471"/>
            <wp:effectExtent l="0" t="0" r="0" b="444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089910" cy="1843471"/>
                    </a:xfrm>
                    <a:prstGeom prst="rect">
                      <a:avLst/>
                    </a:prstGeom>
                  </pic:spPr>
                </pic:pic>
              </a:graphicData>
            </a:graphic>
          </wp:inline>
        </w:drawing>
      </w:r>
    </w:p>
    <w:p w14:paraId="2CB12869" w14:textId="378CCD80" w:rsidR="00C33A97" w:rsidRDefault="00C33A97" w:rsidP="00C33A97">
      <w:pPr>
        <w:pStyle w:val="figurecaption"/>
        <w:jc w:val="center"/>
      </w:pPr>
      <w:r>
        <w:t>Coefficients of Variables (Germany berfore 2006 World Cup)</w:t>
      </w:r>
    </w:p>
    <w:p w14:paraId="2FB482F4" w14:textId="77777777" w:rsidR="00C33A97" w:rsidRDefault="00C33A97" w:rsidP="00C33A97">
      <w:pPr>
        <w:pStyle w:val="figurecaption"/>
        <w:numPr>
          <w:ilvl w:val="0"/>
          <w:numId w:val="0"/>
        </w:numPr>
        <w:jc w:val="center"/>
      </w:pPr>
    </w:p>
    <w:p w14:paraId="38DDF657" w14:textId="01442644" w:rsidR="00C33A97" w:rsidRDefault="00C33A97" w:rsidP="00C33A97">
      <w:r w:rsidRPr="00844368">
        <w:rPr>
          <w:b/>
          <w:noProof/>
        </w:rPr>
        <w:drawing>
          <wp:inline distT="0" distB="0" distL="0" distR="0" wp14:anchorId="0E0F2B07" wp14:editId="115BDF2A">
            <wp:extent cx="3089910" cy="1972531"/>
            <wp:effectExtent l="0" t="0" r="0" b="889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972531"/>
                    </a:xfrm>
                    <a:prstGeom prst="rect">
                      <a:avLst/>
                    </a:prstGeom>
                  </pic:spPr>
                </pic:pic>
              </a:graphicData>
            </a:graphic>
          </wp:inline>
        </w:drawing>
      </w:r>
    </w:p>
    <w:p w14:paraId="0368316F" w14:textId="7C9161C8" w:rsidR="00C33A97" w:rsidRDefault="00C33A97" w:rsidP="00C33A97">
      <w:pPr>
        <w:pStyle w:val="figurecaption"/>
        <w:jc w:val="center"/>
      </w:pPr>
      <w:r>
        <w:t>Correlation Matrix (Pre-FIFA)</w:t>
      </w:r>
    </w:p>
    <w:p w14:paraId="2E7CA0B9" w14:textId="77777777" w:rsidR="00C33A97" w:rsidRDefault="00C33A97" w:rsidP="00C33A97">
      <w:pPr>
        <w:jc w:val="both"/>
      </w:pPr>
    </w:p>
    <w:p w14:paraId="349AEA11" w14:textId="77777777" w:rsidR="00C33A97" w:rsidRPr="00844368" w:rsidRDefault="00C33A97" w:rsidP="00C33A97">
      <w:pPr>
        <w:pStyle w:val="Heading3"/>
      </w:pPr>
      <w:r w:rsidRPr="00844368">
        <w:t>Insights from the Regression Analysis: Germany’s 2006 FIFA World Cup</w:t>
      </w:r>
    </w:p>
    <w:p w14:paraId="3612610C" w14:textId="77777777" w:rsidR="00C33A97" w:rsidRPr="00844368" w:rsidRDefault="00C33A97" w:rsidP="00C33A97">
      <w:pPr>
        <w:jc w:val="both"/>
      </w:pPr>
      <w:r w:rsidRPr="00844368">
        <w:t xml:space="preserve">The regression analysis reveals valuable insights into the economic dynamics of Germany's hosting of the 2006 FIFA World Cup. The model’s overall goodness of fit, measured by the </w:t>
      </w:r>
      <w:r w:rsidRPr="00844368">
        <w:rPr>
          <w:rStyle w:val="Strong"/>
          <w:b w:val="0"/>
          <w:bCs w:val="0"/>
        </w:rPr>
        <w:t>R-Squared</w:t>
      </w:r>
      <w:r w:rsidRPr="00844368">
        <w:t xml:space="preserve"> value, indicates a strong explanatory power for the years leading up to the event. Specifically, the </w:t>
      </w:r>
      <w:r w:rsidRPr="00844368">
        <w:rPr>
          <w:rStyle w:val="Strong"/>
          <w:b w:val="0"/>
          <w:bCs w:val="0"/>
        </w:rPr>
        <w:t>Adjusted R-Squared</w:t>
      </w:r>
      <w:r w:rsidRPr="00844368">
        <w:t xml:space="preserve"> value of 0.526210 highlights that the independent variables accounted for approximately 52.6% of the variations in Germany’s GDP, focusing only on those variables with significant contributions to the model.</w:t>
      </w:r>
    </w:p>
    <w:p w14:paraId="7A21DF26" w14:textId="77777777" w:rsidR="00C33A97" w:rsidRPr="000F344D" w:rsidRDefault="00C33A97" w:rsidP="002E4D87">
      <w:pPr>
        <w:pStyle w:val="Heading5"/>
        <w:jc w:val="both"/>
      </w:pPr>
      <w:r w:rsidRPr="000F344D">
        <w:rPr>
          <w:rStyle w:val="Strong"/>
          <w:bCs w:val="0"/>
        </w:rPr>
        <w:t>Key Findings and Variable Significance</w:t>
      </w:r>
    </w:p>
    <w:p w14:paraId="007AB430" w14:textId="77777777" w:rsidR="00C33A97" w:rsidRPr="00844368" w:rsidRDefault="00C33A97" w:rsidP="000F344D">
      <w:pPr>
        <w:pStyle w:val="Heading4"/>
      </w:pPr>
      <w:r w:rsidRPr="00844368">
        <w:rPr>
          <w:rStyle w:val="Strong"/>
        </w:rPr>
        <w:t xml:space="preserve">Significant Variables: Inflation </w:t>
      </w:r>
      <w:r w:rsidRPr="00844368">
        <w:rPr>
          <w:rStyle w:val="Strong"/>
          <w:b w:val="0"/>
          <w:bCs w:val="0"/>
        </w:rPr>
        <w:t>and</w:t>
      </w:r>
      <w:r w:rsidRPr="00844368">
        <w:rPr>
          <w:rStyle w:val="Strong"/>
        </w:rPr>
        <w:t xml:space="preserve"> Infrastructure Investment</w:t>
      </w:r>
    </w:p>
    <w:p w14:paraId="7E5F40D1" w14:textId="77777777" w:rsidR="00C33A97" w:rsidRPr="00844368" w:rsidRDefault="00C33A97" w:rsidP="00E644A9">
      <w:pPr>
        <w:pStyle w:val="ListParagraph"/>
        <w:numPr>
          <w:ilvl w:val="1"/>
          <w:numId w:val="29"/>
        </w:numPr>
      </w:pPr>
      <w:r w:rsidRPr="00844368">
        <w:t xml:space="preserve">At a 95% confidence level, </w:t>
      </w:r>
      <w:r w:rsidRPr="00844368">
        <w:rPr>
          <w:rStyle w:val="Strong"/>
        </w:rPr>
        <w:t>Inflation</w:t>
      </w:r>
      <w:r w:rsidRPr="00844368">
        <w:t xml:space="preserve"> and </w:t>
      </w:r>
      <w:r w:rsidRPr="00844368">
        <w:rPr>
          <w:rStyle w:val="Strong"/>
        </w:rPr>
        <w:t>Investment in Infrastructure</w:t>
      </w:r>
      <w:r w:rsidRPr="00844368">
        <w:t xml:space="preserve"> emerged as the most statistically significant variables influencing GDP.</w:t>
      </w:r>
    </w:p>
    <w:p w14:paraId="274698A6" w14:textId="77777777" w:rsidR="00C33A97" w:rsidRPr="00844368" w:rsidRDefault="00C33A97" w:rsidP="00E644A9">
      <w:pPr>
        <w:pStyle w:val="ListParagraph"/>
        <w:numPr>
          <w:ilvl w:val="1"/>
          <w:numId w:val="29"/>
        </w:numPr>
      </w:pPr>
      <w:r w:rsidRPr="00844368">
        <w:t>For every billion dollars invested in infrastructure, GDP increased by approximately $255.14 billion per quarter, reflecting the high returns of Germany’s efficient infrastructure improvements.</w:t>
      </w:r>
    </w:p>
    <w:p w14:paraId="5A5AEDF2" w14:textId="77777777" w:rsidR="00C33A97" w:rsidRPr="00844368" w:rsidRDefault="00C33A97" w:rsidP="000F344D">
      <w:pPr>
        <w:pStyle w:val="Heading4"/>
      </w:pPr>
      <w:r w:rsidRPr="00844368">
        <w:rPr>
          <w:rStyle w:val="Strong"/>
        </w:rPr>
        <w:t>Negative Impact of Stadium Investments</w:t>
      </w:r>
    </w:p>
    <w:p w14:paraId="6D674E5A" w14:textId="77777777" w:rsidR="00C33A97" w:rsidRPr="00844368" w:rsidRDefault="00C33A97" w:rsidP="00E644A9">
      <w:pPr>
        <w:pStyle w:val="ListParagraph"/>
        <w:numPr>
          <w:ilvl w:val="1"/>
          <w:numId w:val="30"/>
        </w:numPr>
      </w:pPr>
      <w:r w:rsidRPr="00844368">
        <w:t xml:space="preserve">Surprisingly, investments in stadiums had a significant </w:t>
      </w:r>
      <w:r w:rsidRPr="00844368">
        <w:rPr>
          <w:rStyle w:val="Strong"/>
        </w:rPr>
        <w:t>negative impact</w:t>
      </w:r>
      <w:r w:rsidRPr="00844368">
        <w:t xml:space="preserve"> on GDP. The </w:t>
      </w:r>
      <w:r w:rsidRPr="00844368">
        <w:lastRenderedPageBreak/>
        <w:t>regression coefficient of -201.03 suggests that for every billion dollars allocated to stadium construction, GDP decreased by approximately $201 billion each quarter.</w:t>
      </w:r>
    </w:p>
    <w:p w14:paraId="2F35D30D" w14:textId="77777777" w:rsidR="00C33A97" w:rsidRPr="00844368" w:rsidRDefault="00C33A97" w:rsidP="00E644A9">
      <w:pPr>
        <w:pStyle w:val="ListParagraph"/>
        <w:numPr>
          <w:ilvl w:val="1"/>
          <w:numId w:val="30"/>
        </w:numPr>
      </w:pPr>
      <w:r w:rsidRPr="00844368">
        <w:t>This result is counterintuitive, particularly for a developed nation like Germany, which already had modernized infrastructure prior to the World Cup. One possible explanation is the limited long-term utility of new stadiums, resulting in inefficiencies and opportunity costs associated with these investments.</w:t>
      </w:r>
    </w:p>
    <w:p w14:paraId="3EEE530B" w14:textId="77777777" w:rsidR="00C33A97" w:rsidRPr="00844368" w:rsidRDefault="00C33A97" w:rsidP="000F344D">
      <w:pPr>
        <w:pStyle w:val="Heading4"/>
      </w:pPr>
      <w:r w:rsidRPr="00844368">
        <w:rPr>
          <w:rStyle w:val="Strong"/>
        </w:rPr>
        <w:t>Unemployment as an Insignificant Variable</w:t>
      </w:r>
    </w:p>
    <w:p w14:paraId="57F4A51C" w14:textId="77777777" w:rsidR="00C33A97" w:rsidRPr="00844368" w:rsidRDefault="00C33A97" w:rsidP="00E644A9">
      <w:pPr>
        <w:pStyle w:val="ListParagraph"/>
        <w:numPr>
          <w:ilvl w:val="1"/>
          <w:numId w:val="31"/>
        </w:numPr>
      </w:pPr>
      <w:r w:rsidRPr="00844368">
        <w:t xml:space="preserve">Another unexpected finding was the insignificance of </w:t>
      </w:r>
      <w:r w:rsidRPr="00844368">
        <w:rPr>
          <w:rStyle w:val="Strong"/>
        </w:rPr>
        <w:t>Unemployment</w:t>
      </w:r>
      <w:r w:rsidRPr="00844368">
        <w:t xml:space="preserve"> as a predictor of GDP. Despite the creation of half a million jobs in preparation for the tournament (as highlighted in the report </w:t>
      </w:r>
      <w:r w:rsidRPr="00844368">
        <w:rPr>
          <w:rStyle w:val="Emphasis"/>
        </w:rPr>
        <w:t>“A Time to Make Friends”</w:t>
      </w:r>
      <w:r w:rsidRPr="00844368">
        <w:t>), unemployment’s correlation with inflation likely diluted its impact within the regression model.</w:t>
      </w:r>
    </w:p>
    <w:p w14:paraId="5F6F1463" w14:textId="77777777" w:rsidR="00C33A97" w:rsidRPr="00844368" w:rsidRDefault="00C33A97" w:rsidP="00E644A9">
      <w:pPr>
        <w:pStyle w:val="ListParagraph"/>
        <w:numPr>
          <w:ilvl w:val="1"/>
          <w:numId w:val="31"/>
        </w:numPr>
      </w:pPr>
      <w:r w:rsidRPr="00844368">
        <w:t>Typically, job creation stimulates economic activity by increasing disposable income and consumer spending. However, the interplay between inflation and unemployment appears to have confounded this relationship in Germany's case.</w:t>
      </w:r>
    </w:p>
    <w:p w14:paraId="436E056A" w14:textId="77777777" w:rsidR="00C33A97" w:rsidRPr="000F344D" w:rsidRDefault="00C33A97" w:rsidP="002E4D87">
      <w:pPr>
        <w:pStyle w:val="Heading5"/>
        <w:jc w:val="both"/>
      </w:pPr>
      <w:r w:rsidRPr="000F344D">
        <w:rPr>
          <w:rStyle w:val="Strong"/>
          <w:bCs w:val="0"/>
        </w:rPr>
        <w:t>Key Metrics of the Model</w:t>
      </w:r>
    </w:p>
    <w:p w14:paraId="6ED2791D" w14:textId="77777777" w:rsidR="00C33A97" w:rsidRPr="00844368" w:rsidRDefault="00C33A97" w:rsidP="00E644A9">
      <w:pPr>
        <w:pStyle w:val="ListParagraph"/>
        <w:numPr>
          <w:ilvl w:val="0"/>
          <w:numId w:val="27"/>
        </w:numPr>
      </w:pPr>
      <w:r w:rsidRPr="00844368">
        <w:rPr>
          <w:rStyle w:val="Strong"/>
        </w:rPr>
        <w:t>R-Squared (0.7236)</w:t>
      </w:r>
      <w:r w:rsidRPr="00844368">
        <w:t>: Indicates that approximately 72.4% of the GDP variation was explained by the regression model.</w:t>
      </w:r>
    </w:p>
    <w:p w14:paraId="1B7D43ED" w14:textId="77777777" w:rsidR="00C33A97" w:rsidRPr="00844368" w:rsidRDefault="00C33A97" w:rsidP="00E644A9">
      <w:pPr>
        <w:pStyle w:val="ListParagraph"/>
        <w:numPr>
          <w:ilvl w:val="0"/>
          <w:numId w:val="27"/>
        </w:numPr>
      </w:pPr>
      <w:r w:rsidRPr="00844368">
        <w:rPr>
          <w:rStyle w:val="Strong"/>
        </w:rPr>
        <w:t>Adjusted R-Squared (0.5262)</w:t>
      </w:r>
      <w:r w:rsidRPr="00844368">
        <w:t>: Accounts for only those independent variables significantly impacting GDP, offering a refined goodness-of-fit measure.</w:t>
      </w:r>
    </w:p>
    <w:p w14:paraId="2FA38E46" w14:textId="77777777" w:rsidR="00C33A97" w:rsidRPr="00844368" w:rsidRDefault="00C33A97" w:rsidP="00E644A9">
      <w:pPr>
        <w:pStyle w:val="ListParagraph"/>
        <w:numPr>
          <w:ilvl w:val="0"/>
          <w:numId w:val="27"/>
        </w:numPr>
      </w:pPr>
      <w:r w:rsidRPr="00844368">
        <w:rPr>
          <w:rStyle w:val="Strong"/>
        </w:rPr>
        <w:t>Standard Error of Regression (12.44)</w:t>
      </w:r>
      <w:r w:rsidRPr="00844368">
        <w:t>: Reflects the average deviation of observed GDP values from the model’s predicted values.</w:t>
      </w:r>
    </w:p>
    <w:p w14:paraId="3095EF98" w14:textId="77777777" w:rsidR="00C33A97" w:rsidRPr="000F344D" w:rsidRDefault="00C33A97" w:rsidP="002E4D87">
      <w:pPr>
        <w:pStyle w:val="Heading5"/>
        <w:jc w:val="both"/>
      </w:pPr>
      <w:r w:rsidRPr="000F344D">
        <w:rPr>
          <w:rStyle w:val="Strong"/>
          <w:bCs w:val="0"/>
        </w:rPr>
        <w:t>Conceptual Explanations</w:t>
      </w:r>
    </w:p>
    <w:p w14:paraId="03155DBC" w14:textId="77777777" w:rsidR="00C33A97" w:rsidRPr="00844368" w:rsidRDefault="00C33A97" w:rsidP="00E644A9">
      <w:pPr>
        <w:pStyle w:val="ListParagraph"/>
        <w:numPr>
          <w:ilvl w:val="0"/>
          <w:numId w:val="28"/>
        </w:numPr>
      </w:pPr>
      <w:r w:rsidRPr="00844368">
        <w:rPr>
          <w:rStyle w:val="Strong"/>
        </w:rPr>
        <w:t>R-Squared and Adjusted R-Squared</w:t>
      </w:r>
      <w:r w:rsidRPr="00844368">
        <w:t>: These metrics measure the proportion of variance in the dependent variable (GDP) explained by the independent variables. Adjusted R-Squared is particularly useful because it adjusts for the number of predictors, penalizing the model for irrelevant variables.</w:t>
      </w:r>
    </w:p>
    <w:p w14:paraId="65B99BA8" w14:textId="77777777" w:rsidR="00C33A97" w:rsidRPr="00844368" w:rsidRDefault="00C33A97" w:rsidP="00E644A9">
      <w:pPr>
        <w:pStyle w:val="ListParagraph"/>
        <w:numPr>
          <w:ilvl w:val="0"/>
          <w:numId w:val="28"/>
        </w:numPr>
      </w:pPr>
      <w:r w:rsidRPr="00844368">
        <w:rPr>
          <w:rStyle w:val="Strong"/>
        </w:rPr>
        <w:t>Significance Level</w:t>
      </w:r>
      <w:r w:rsidRPr="00844368">
        <w:t>: At the 95% confidence level, significant variables are those where the probability of the observed relationship occurring by chance is less than 5% (p-value &lt; 0.05).</w:t>
      </w:r>
    </w:p>
    <w:p w14:paraId="1C957C3D" w14:textId="77777777" w:rsidR="00C33A97" w:rsidRPr="00844368" w:rsidRDefault="00C33A97" w:rsidP="00E644A9">
      <w:pPr>
        <w:pStyle w:val="ListParagraph"/>
        <w:numPr>
          <w:ilvl w:val="0"/>
          <w:numId w:val="28"/>
        </w:numPr>
      </w:pPr>
      <w:r w:rsidRPr="00844368">
        <w:rPr>
          <w:rStyle w:val="Strong"/>
        </w:rPr>
        <w:t>Coefficient Interpretation</w:t>
      </w:r>
      <w:r w:rsidRPr="00844368">
        <w:t xml:space="preserve">: A variable’s coefficient quantifies its impact on the dependent variable. Positive coefficients indicate a direct relationship (e.g., infrastructure investment boosting GDP), </w:t>
      </w:r>
      <w:r w:rsidRPr="00844368">
        <w:t>while negative coefficients signify an inverse relationship (e.g., stadium spending reducing GDP).</w:t>
      </w:r>
    </w:p>
    <w:p w14:paraId="607BF8BF" w14:textId="45487A7B" w:rsidR="00C33A97" w:rsidRDefault="00C33A97" w:rsidP="00E644A9">
      <w:pPr>
        <w:pStyle w:val="ListParagraph"/>
        <w:numPr>
          <w:ilvl w:val="0"/>
          <w:numId w:val="28"/>
        </w:numPr>
      </w:pPr>
      <w:r w:rsidRPr="00844368">
        <w:rPr>
          <w:rStyle w:val="Strong"/>
        </w:rPr>
        <w:t>Multicollinearity</w:t>
      </w:r>
      <w:r w:rsidRPr="00844368">
        <w:t>: When independent variables (e.g., unemployment and inflation) are highly correlated, their individual effects on the dependent variable become harder to isolate, increasing standard errors and affecting p-values.</w:t>
      </w:r>
    </w:p>
    <w:p w14:paraId="12E52484" w14:textId="5F24F07F" w:rsidR="000F344D" w:rsidRPr="009C259A" w:rsidRDefault="002E4D87" w:rsidP="000F344D">
      <w:pPr>
        <w:pStyle w:val="tablehead"/>
      </w:pPr>
      <w:r>
        <w:t>Germany from 2006 and onwards</w:t>
      </w:r>
    </w:p>
    <w:tbl>
      <w:tblPr>
        <w:tblStyle w:val="TableGrid"/>
        <w:tblW w:w="0pt" w:type="dxa"/>
        <w:tblBorders>
          <w:start w:val="none" w:sz="0" w:space="0" w:color="auto"/>
          <w:end w:val="none" w:sz="0" w:space="0" w:color="auto"/>
          <w:insideV w:val="none" w:sz="0" w:space="0" w:color="auto"/>
        </w:tblBorders>
        <w:tblLook w:firstRow="1" w:lastRow="0" w:firstColumn="1" w:lastColumn="0" w:noHBand="0" w:noVBand="1"/>
      </w:tblPr>
      <w:tblGrid>
        <w:gridCol w:w="1082"/>
        <w:gridCol w:w="946"/>
        <w:gridCol w:w="946"/>
        <w:gridCol w:w="946"/>
        <w:gridCol w:w="946"/>
      </w:tblGrid>
      <w:tr w:rsidR="000F344D" w:rsidRPr="00844368" w14:paraId="6F826839" w14:textId="77777777" w:rsidTr="00E86CFE">
        <w:tc>
          <w:tcPr>
            <w:tcW w:w="138.70pt" w:type="dxa"/>
            <w:tcBorders>
              <w:top w:val="single" w:sz="8" w:space="0" w:color="auto"/>
              <w:bottom w:val="single" w:sz="8" w:space="0" w:color="auto"/>
            </w:tcBorders>
          </w:tcPr>
          <w:p w14:paraId="0BFCB6C4" w14:textId="7644DAD4" w:rsidR="000F344D" w:rsidRPr="000F344D" w:rsidRDefault="000F344D" w:rsidP="000F344D">
            <w:pPr>
              <w:rPr>
                <w:rFonts w:ascii="Times New Roman" w:hAnsi="Times New Roman" w:cs="Times New Roman"/>
                <w:i/>
                <w:sz w:val="20"/>
                <w:szCs w:val="20"/>
              </w:rPr>
            </w:pPr>
            <w:r w:rsidRPr="000F344D">
              <w:rPr>
                <w:rFonts w:ascii="Times New Roman" w:hAnsi="Times New Roman" w:cs="Times New Roman"/>
                <w:i/>
                <w:sz w:val="20"/>
                <w:szCs w:val="20"/>
              </w:rPr>
              <w:t>Variable</w:t>
            </w:r>
          </w:p>
        </w:tc>
        <w:tc>
          <w:tcPr>
            <w:tcW w:w="75.05pt" w:type="dxa"/>
            <w:tcBorders>
              <w:top w:val="single" w:sz="8" w:space="0" w:color="auto"/>
              <w:bottom w:val="single" w:sz="8" w:space="0" w:color="auto"/>
            </w:tcBorders>
          </w:tcPr>
          <w:p w14:paraId="78FC2643" w14:textId="77777777" w:rsidR="000F344D" w:rsidRPr="00844368" w:rsidRDefault="000F344D" w:rsidP="00E86CFE">
            <w:pPr>
              <w:rPr>
                <w:rFonts w:ascii="Times New Roman" w:hAnsi="Times New Roman" w:cs="Times New Roman"/>
                <w:i/>
                <w:sz w:val="20"/>
                <w:szCs w:val="20"/>
              </w:rPr>
            </w:pPr>
            <w:r w:rsidRPr="00844368">
              <w:rPr>
                <w:rFonts w:ascii="Times New Roman" w:hAnsi="Times New Roman" w:cs="Times New Roman"/>
                <w:i/>
                <w:sz w:val="20"/>
                <w:szCs w:val="20"/>
              </w:rPr>
              <w:t>Co-efficient</w:t>
            </w:r>
          </w:p>
        </w:tc>
        <w:tc>
          <w:tcPr>
            <w:tcW w:w="82pt" w:type="dxa"/>
            <w:tcBorders>
              <w:top w:val="single" w:sz="8" w:space="0" w:color="auto"/>
              <w:bottom w:val="single" w:sz="8" w:space="0" w:color="auto"/>
            </w:tcBorders>
          </w:tcPr>
          <w:p w14:paraId="7C54C6DB" w14:textId="77777777" w:rsidR="000F344D" w:rsidRPr="00844368" w:rsidRDefault="000F344D" w:rsidP="00E86CFE">
            <w:pPr>
              <w:rPr>
                <w:rFonts w:ascii="Times New Roman" w:hAnsi="Times New Roman" w:cs="Times New Roman"/>
                <w:i/>
                <w:sz w:val="20"/>
                <w:szCs w:val="20"/>
              </w:rPr>
            </w:pPr>
            <w:r w:rsidRPr="00844368">
              <w:rPr>
                <w:rFonts w:ascii="Times New Roman" w:hAnsi="Times New Roman" w:cs="Times New Roman"/>
                <w:i/>
                <w:sz w:val="20"/>
                <w:szCs w:val="20"/>
              </w:rPr>
              <w:t>Error</w:t>
            </w:r>
          </w:p>
        </w:tc>
        <w:tc>
          <w:tcPr>
            <w:tcW w:w="80.05pt" w:type="dxa"/>
            <w:tcBorders>
              <w:top w:val="single" w:sz="8" w:space="0" w:color="auto"/>
              <w:bottom w:val="single" w:sz="8" w:space="0" w:color="auto"/>
            </w:tcBorders>
          </w:tcPr>
          <w:p w14:paraId="5B5DBCC3" w14:textId="77777777" w:rsidR="000F344D" w:rsidRPr="00844368" w:rsidRDefault="000F344D" w:rsidP="00E86CFE">
            <w:pPr>
              <w:rPr>
                <w:rFonts w:ascii="Times New Roman" w:hAnsi="Times New Roman" w:cs="Times New Roman"/>
                <w:i/>
                <w:sz w:val="20"/>
                <w:szCs w:val="20"/>
              </w:rPr>
            </w:pPr>
            <w:r w:rsidRPr="00844368">
              <w:rPr>
                <w:rFonts w:ascii="Times New Roman" w:hAnsi="Times New Roman" w:cs="Times New Roman"/>
                <w:i/>
                <w:sz w:val="20"/>
                <w:szCs w:val="20"/>
              </w:rPr>
              <w:t>t-Stat</w:t>
            </w:r>
          </w:p>
        </w:tc>
        <w:tc>
          <w:tcPr>
            <w:tcW w:w="75.50pt" w:type="dxa"/>
            <w:tcBorders>
              <w:top w:val="single" w:sz="8" w:space="0" w:color="auto"/>
              <w:bottom w:val="single" w:sz="8" w:space="0" w:color="auto"/>
            </w:tcBorders>
          </w:tcPr>
          <w:p w14:paraId="361F72C3" w14:textId="77777777" w:rsidR="000F344D" w:rsidRPr="00844368" w:rsidRDefault="000F344D" w:rsidP="00E86CFE">
            <w:pPr>
              <w:rPr>
                <w:rFonts w:ascii="Times New Roman" w:hAnsi="Times New Roman" w:cs="Times New Roman"/>
                <w:i/>
                <w:sz w:val="20"/>
                <w:szCs w:val="20"/>
              </w:rPr>
            </w:pPr>
            <w:r w:rsidRPr="00844368">
              <w:rPr>
                <w:rFonts w:ascii="Times New Roman" w:hAnsi="Times New Roman" w:cs="Times New Roman"/>
                <w:i/>
                <w:sz w:val="20"/>
                <w:szCs w:val="20"/>
              </w:rPr>
              <w:t>P-value</w:t>
            </w:r>
          </w:p>
        </w:tc>
      </w:tr>
      <w:tr w:rsidR="000F344D" w:rsidRPr="00844368" w14:paraId="4C10D2A4" w14:textId="77777777" w:rsidTr="00E86CFE">
        <w:tc>
          <w:tcPr>
            <w:tcW w:w="138.70pt" w:type="dxa"/>
            <w:tcBorders>
              <w:top w:val="single" w:sz="8" w:space="0" w:color="auto"/>
              <w:bottom w:val="nil"/>
            </w:tcBorders>
          </w:tcPr>
          <w:p w14:paraId="78E53430"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Intercept</w:t>
            </w:r>
          </w:p>
        </w:tc>
        <w:tc>
          <w:tcPr>
            <w:tcW w:w="75.05pt" w:type="dxa"/>
            <w:tcBorders>
              <w:top w:val="single" w:sz="8" w:space="0" w:color="auto"/>
              <w:bottom w:val="nil"/>
            </w:tcBorders>
          </w:tcPr>
          <w:p w14:paraId="0C0FFB6B"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754.3254532 </w:t>
            </w:r>
          </w:p>
        </w:tc>
        <w:tc>
          <w:tcPr>
            <w:tcW w:w="82pt" w:type="dxa"/>
            <w:tcBorders>
              <w:top w:val="single" w:sz="8" w:space="0" w:color="auto"/>
              <w:bottom w:val="nil"/>
            </w:tcBorders>
          </w:tcPr>
          <w:p w14:paraId="5C2CF396"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41.13126712</w:t>
            </w:r>
          </w:p>
        </w:tc>
        <w:tc>
          <w:tcPr>
            <w:tcW w:w="80.05pt" w:type="dxa"/>
            <w:tcBorders>
              <w:top w:val="single" w:sz="8" w:space="0" w:color="auto"/>
              <w:bottom w:val="nil"/>
            </w:tcBorders>
          </w:tcPr>
          <w:p w14:paraId="4389B8C7"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18.33946547</w:t>
            </w:r>
          </w:p>
        </w:tc>
        <w:tc>
          <w:tcPr>
            <w:tcW w:w="75.50pt" w:type="dxa"/>
            <w:tcBorders>
              <w:top w:val="single" w:sz="8" w:space="0" w:color="auto"/>
              <w:bottom w:val="nil"/>
            </w:tcBorders>
          </w:tcPr>
          <w:p w14:paraId="15828ABB"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1.35153E-09</w:t>
            </w:r>
          </w:p>
        </w:tc>
      </w:tr>
      <w:tr w:rsidR="000F344D" w:rsidRPr="00844368" w14:paraId="34CEF381" w14:textId="77777777" w:rsidTr="00E86CFE">
        <w:tc>
          <w:tcPr>
            <w:tcW w:w="138.70pt" w:type="dxa"/>
            <w:tcBorders>
              <w:top w:val="nil"/>
              <w:bottom w:val="nil"/>
            </w:tcBorders>
          </w:tcPr>
          <w:p w14:paraId="3C6DCBF3"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Inflation (%)</w:t>
            </w:r>
          </w:p>
        </w:tc>
        <w:tc>
          <w:tcPr>
            <w:tcW w:w="75.05pt" w:type="dxa"/>
            <w:tcBorders>
              <w:top w:val="nil"/>
              <w:bottom w:val="nil"/>
            </w:tcBorders>
          </w:tcPr>
          <w:p w14:paraId="5B35F21B"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7.749077429 </w:t>
            </w:r>
          </w:p>
        </w:tc>
        <w:tc>
          <w:tcPr>
            <w:tcW w:w="82pt" w:type="dxa"/>
            <w:tcBorders>
              <w:top w:val="nil"/>
              <w:bottom w:val="nil"/>
            </w:tcBorders>
          </w:tcPr>
          <w:p w14:paraId="3F95E4ED"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4.478280643</w:t>
            </w:r>
          </w:p>
        </w:tc>
        <w:tc>
          <w:tcPr>
            <w:tcW w:w="80.05pt" w:type="dxa"/>
            <w:tcBorders>
              <w:top w:val="nil"/>
              <w:bottom w:val="nil"/>
            </w:tcBorders>
          </w:tcPr>
          <w:p w14:paraId="747C403F"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1.730368878</w:t>
            </w:r>
          </w:p>
        </w:tc>
        <w:tc>
          <w:tcPr>
            <w:tcW w:w="75.50pt" w:type="dxa"/>
            <w:tcBorders>
              <w:top w:val="nil"/>
              <w:bottom w:val="nil"/>
            </w:tcBorders>
          </w:tcPr>
          <w:p w14:paraId="5DB99D28"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0.111481997</w:t>
            </w:r>
          </w:p>
        </w:tc>
      </w:tr>
      <w:tr w:rsidR="000F344D" w:rsidRPr="00844368" w14:paraId="4D8DDC56" w14:textId="77777777" w:rsidTr="000F344D">
        <w:tc>
          <w:tcPr>
            <w:tcW w:w="138.70pt" w:type="dxa"/>
            <w:tcBorders>
              <w:top w:val="nil"/>
              <w:bottom w:val="nil"/>
            </w:tcBorders>
          </w:tcPr>
          <w:p w14:paraId="02606BE4"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Quarterly Tourism (billion)</w:t>
            </w:r>
          </w:p>
        </w:tc>
        <w:tc>
          <w:tcPr>
            <w:tcW w:w="75.05pt" w:type="dxa"/>
            <w:tcBorders>
              <w:top w:val="nil"/>
              <w:bottom w:val="nil"/>
            </w:tcBorders>
          </w:tcPr>
          <w:p w14:paraId="4817BD01"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8.104475837 </w:t>
            </w:r>
          </w:p>
        </w:tc>
        <w:tc>
          <w:tcPr>
            <w:tcW w:w="82pt" w:type="dxa"/>
            <w:tcBorders>
              <w:top w:val="nil"/>
              <w:bottom w:val="nil"/>
            </w:tcBorders>
          </w:tcPr>
          <w:p w14:paraId="51BAAB87"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9.739584484</w:t>
            </w:r>
          </w:p>
        </w:tc>
        <w:tc>
          <w:tcPr>
            <w:tcW w:w="80.05pt" w:type="dxa"/>
            <w:tcBorders>
              <w:top w:val="nil"/>
              <w:bottom w:val="nil"/>
            </w:tcBorders>
          </w:tcPr>
          <w:p w14:paraId="0153348F"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0.832117206</w:t>
            </w:r>
          </w:p>
        </w:tc>
        <w:tc>
          <w:tcPr>
            <w:tcW w:w="75.50pt" w:type="dxa"/>
            <w:tcBorders>
              <w:top w:val="nil"/>
              <w:bottom w:val="nil"/>
            </w:tcBorders>
          </w:tcPr>
          <w:p w14:paraId="7014159B"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0.423040033</w:t>
            </w:r>
          </w:p>
        </w:tc>
      </w:tr>
      <w:tr w:rsidR="000F344D" w:rsidRPr="00844368" w14:paraId="477F6954" w14:textId="77777777" w:rsidTr="000F344D">
        <w:tc>
          <w:tcPr>
            <w:tcW w:w="138.70pt" w:type="dxa"/>
            <w:tcBorders>
              <w:top w:val="nil"/>
              <w:bottom w:val="single" w:sz="8" w:space="0" w:color="auto"/>
            </w:tcBorders>
          </w:tcPr>
          <w:p w14:paraId="564AAC61"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Unemployment (%)</w:t>
            </w:r>
          </w:p>
        </w:tc>
        <w:tc>
          <w:tcPr>
            <w:tcW w:w="75.05pt" w:type="dxa"/>
            <w:tcBorders>
              <w:top w:val="nil"/>
              <w:bottom w:val="single" w:sz="8" w:space="0" w:color="auto"/>
            </w:tcBorders>
          </w:tcPr>
          <w:p w14:paraId="09C3D69D"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-11.1404522 </w:t>
            </w:r>
          </w:p>
        </w:tc>
        <w:tc>
          <w:tcPr>
            <w:tcW w:w="82pt" w:type="dxa"/>
            <w:tcBorders>
              <w:top w:val="nil"/>
              <w:bottom w:val="single" w:sz="8" w:space="0" w:color="auto"/>
            </w:tcBorders>
          </w:tcPr>
          <w:p w14:paraId="390D028D"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4.279009814</w:t>
            </w:r>
          </w:p>
        </w:tc>
        <w:tc>
          <w:tcPr>
            <w:tcW w:w="80.05pt" w:type="dxa"/>
            <w:tcBorders>
              <w:top w:val="nil"/>
              <w:bottom w:val="single" w:sz="4" w:space="0" w:color="auto"/>
              <w:end w:val="nil"/>
            </w:tcBorders>
          </w:tcPr>
          <w:p w14:paraId="4327B9EF"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-2.60351173</w:t>
            </w:r>
          </w:p>
        </w:tc>
        <w:tc>
          <w:tcPr>
            <w:tcW w:w="75.50pt" w:type="dxa"/>
            <w:tcBorders>
              <w:top w:val="nil"/>
              <w:start w:val="nil"/>
              <w:bottom w:val="single" w:sz="4" w:space="0" w:color="auto"/>
            </w:tcBorders>
          </w:tcPr>
          <w:p w14:paraId="6614D013"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0.024539838</w:t>
            </w:r>
          </w:p>
        </w:tc>
      </w:tr>
    </w:tbl>
    <w:p w14:paraId="7DF8A217" w14:textId="77777777" w:rsidR="000F344D" w:rsidRPr="00844368" w:rsidRDefault="000F344D" w:rsidP="000F344D"/>
    <w:tbl>
      <w:tblPr>
        <w:tblStyle w:val="TableGrid"/>
        <w:tblW w:w="0pt" w:type="dxa"/>
        <w:tblBorders>
          <w:top w:val="none" w:sz="0" w:space="0" w:color="auto"/>
          <w:start w:val="none" w:sz="0" w:space="0" w:color="auto"/>
          <w:end w:val="none" w:sz="0" w:space="0" w:color="auto"/>
          <w:insideH w:val="none" w:sz="0" w:space="0" w:color="auto"/>
          <w:insideV w:val="none" w:sz="0" w:space="0" w:color="auto"/>
        </w:tblBorders>
        <w:tblLook w:firstRow="1" w:lastRow="0" w:firstColumn="1" w:lastColumn="0" w:noHBand="0" w:noVBand="1"/>
      </w:tblPr>
      <w:tblGrid>
        <w:gridCol w:w="1899"/>
        <w:gridCol w:w="2967"/>
      </w:tblGrid>
      <w:tr w:rsidR="000F344D" w:rsidRPr="00844368" w14:paraId="0F6580DA" w14:textId="77777777" w:rsidTr="00E86CFE">
        <w:trPr>
          <w:trHeight w:val="253"/>
        </w:trPr>
        <w:tc>
          <w:tcPr>
            <w:tcW w:w="139.50pt" w:type="dxa"/>
          </w:tcPr>
          <w:p w14:paraId="466F3FBF"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R-Squared                     </w:t>
            </w:r>
          </w:p>
        </w:tc>
        <w:tc>
          <w:tcPr>
            <w:tcW w:w="243.70pt" w:type="dxa"/>
          </w:tcPr>
          <w:p w14:paraId="34ED51BD"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0.520371887</w:t>
            </w:r>
          </w:p>
        </w:tc>
      </w:tr>
      <w:tr w:rsidR="000F344D" w:rsidRPr="00844368" w14:paraId="4A822864" w14:textId="77777777" w:rsidTr="00E86CFE">
        <w:trPr>
          <w:trHeight w:val="253"/>
        </w:trPr>
        <w:tc>
          <w:tcPr>
            <w:tcW w:w="139.50pt" w:type="dxa"/>
          </w:tcPr>
          <w:p w14:paraId="440CDFB8"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Adjusted R-Squared    </w:t>
            </w:r>
          </w:p>
        </w:tc>
        <w:tc>
          <w:tcPr>
            <w:tcW w:w="243.70pt" w:type="dxa"/>
          </w:tcPr>
          <w:p w14:paraId="3CEF7C59"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0.389564219</w:t>
            </w:r>
          </w:p>
        </w:tc>
      </w:tr>
      <w:tr w:rsidR="000F344D" w:rsidRPr="00844368" w14:paraId="4B4C1301" w14:textId="77777777" w:rsidTr="00E86CFE">
        <w:trPr>
          <w:trHeight w:val="282"/>
        </w:trPr>
        <w:tc>
          <w:tcPr>
            <w:tcW w:w="139.50pt" w:type="dxa"/>
            <w:tcBorders>
              <w:bottom w:val="single" w:sz="8" w:space="0" w:color="auto"/>
            </w:tcBorders>
          </w:tcPr>
          <w:p w14:paraId="7E5457CB"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 xml:space="preserve">S.E. of Regression        </w:t>
            </w:r>
          </w:p>
        </w:tc>
        <w:tc>
          <w:tcPr>
            <w:tcW w:w="243.70pt" w:type="dxa"/>
            <w:tcBorders>
              <w:bottom w:val="single" w:sz="8" w:space="0" w:color="auto"/>
            </w:tcBorders>
          </w:tcPr>
          <w:p w14:paraId="04B9144A" w14:textId="77777777" w:rsidR="000F344D" w:rsidRPr="00844368" w:rsidRDefault="000F344D" w:rsidP="00E86CFE">
            <w:pPr>
              <w:rPr>
                <w:rFonts w:ascii="Times New Roman" w:hAnsi="Times New Roman" w:cs="Times New Roman"/>
                <w:sz w:val="20"/>
                <w:szCs w:val="20"/>
              </w:rPr>
            </w:pPr>
            <w:r w:rsidRPr="00844368">
              <w:rPr>
                <w:rFonts w:ascii="Times New Roman" w:hAnsi="Times New Roman" w:cs="Times New Roman"/>
                <w:sz w:val="20"/>
                <w:szCs w:val="20"/>
              </w:rPr>
              <w:t>16.72753787</w:t>
            </w:r>
          </w:p>
        </w:tc>
      </w:tr>
    </w:tbl>
    <w:p w14:paraId="4081E913" w14:textId="77777777" w:rsidR="000F344D" w:rsidRPr="00844368" w:rsidRDefault="000F344D" w:rsidP="000F344D"/>
    <w:p w14:paraId="52D76454" w14:textId="759238CA" w:rsidR="000F344D" w:rsidRPr="00844368" w:rsidRDefault="000F344D" w:rsidP="000F344D">
      <w:pPr>
        <w:jc w:val="both"/>
      </w:pPr>
      <w:r w:rsidRPr="00844368">
        <w:t>Post German GDP = 754.33 + 7.75(Inflation) + 8.10(tourism) - 11.1(unemployment)</w:t>
      </w:r>
      <w:r>
        <w:t xml:space="preserve">                                                         (ii)</w:t>
      </w:r>
    </w:p>
    <w:p w14:paraId="511C1948" w14:textId="77777777" w:rsidR="000F344D" w:rsidRDefault="000F344D" w:rsidP="000F344D">
      <w:pPr>
        <w:jc w:val="both"/>
      </w:pPr>
    </w:p>
    <w:p w14:paraId="3E02C4C2" w14:textId="7C915865" w:rsidR="000F344D" w:rsidRDefault="000F344D" w:rsidP="000F344D"/>
    <w:p w14:paraId="4D6DA7DA" w14:textId="5C89D48C" w:rsidR="000F344D" w:rsidRDefault="000F344D" w:rsidP="000F344D">
      <w:r w:rsidRPr="00844368">
        <w:rPr>
          <w:noProof/>
        </w:rPr>
        <w:drawing>
          <wp:inline distT="0" distB="0" distL="0" distR="0" wp14:anchorId="2EABEB5B" wp14:editId="3CA76318">
            <wp:extent cx="3089910" cy="1843471"/>
            <wp:effectExtent l="0" t="0" r="0" b="444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843471"/>
                    </a:xfrm>
                    <a:prstGeom prst="rect">
                      <a:avLst/>
                    </a:prstGeom>
                  </pic:spPr>
                </pic:pic>
              </a:graphicData>
            </a:graphic>
          </wp:inline>
        </w:drawing>
      </w:r>
    </w:p>
    <w:p w14:paraId="0B432C02" w14:textId="5254944F" w:rsidR="000F344D" w:rsidRDefault="000F344D" w:rsidP="000F344D">
      <w:pPr>
        <w:pStyle w:val="figurecaption"/>
        <w:jc w:val="center"/>
      </w:pPr>
      <w:r>
        <w:t>Coefficients of Variables (Germany 2006 and Onwards)</w:t>
      </w:r>
    </w:p>
    <w:p w14:paraId="20BC406B" w14:textId="5D4A4026" w:rsidR="000F344D" w:rsidRDefault="000F344D" w:rsidP="000F344D">
      <w:pPr>
        <w:jc w:val="both"/>
      </w:pPr>
    </w:p>
    <w:p w14:paraId="3E325682" w14:textId="4E4D4AB6" w:rsidR="000F344D" w:rsidRDefault="000F344D" w:rsidP="000F344D">
      <w:r w:rsidRPr="00844368">
        <w:rPr>
          <w:noProof/>
        </w:rPr>
        <w:drawing>
          <wp:inline distT="0" distB="0" distL="0" distR="0" wp14:anchorId="06380E79" wp14:editId="30699372">
            <wp:extent cx="3089910" cy="1972531"/>
            <wp:effectExtent l="0" t="0" r="0" b="889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1972531"/>
                    </a:xfrm>
                    <a:prstGeom prst="rect">
                      <a:avLst/>
                    </a:prstGeom>
                  </pic:spPr>
                </pic:pic>
              </a:graphicData>
            </a:graphic>
          </wp:inline>
        </w:drawing>
      </w:r>
    </w:p>
    <w:p w14:paraId="710004D0" w14:textId="35CA92E9" w:rsidR="000F344D" w:rsidRDefault="000F344D" w:rsidP="000F344D">
      <w:pPr>
        <w:pStyle w:val="figurecaption"/>
        <w:jc w:val="center"/>
      </w:pPr>
      <w:r>
        <w:t>Correlation Matrix (Post-FIFA)</w:t>
      </w:r>
    </w:p>
    <w:p w14:paraId="294069CC" w14:textId="77777777" w:rsidR="000F344D" w:rsidRPr="000F344D" w:rsidRDefault="000F344D" w:rsidP="002E4D87">
      <w:pPr>
        <w:pStyle w:val="Heading3"/>
      </w:pPr>
      <w:r w:rsidRPr="000F344D">
        <w:lastRenderedPageBreak/>
        <w:t>Regression Analysis: Post-2006 Economic Impact on Germany</w:t>
      </w:r>
    </w:p>
    <w:p w14:paraId="272779F2" w14:textId="77777777" w:rsidR="000F344D" w:rsidRPr="00844368" w:rsidRDefault="000F344D" w:rsidP="002E4D87">
      <w:pPr>
        <w:jc w:val="both"/>
      </w:pPr>
      <w:r w:rsidRPr="00844368">
        <w:t xml:space="preserve">The regression output for the years following Germany's 2006 FIFA World Cup reveals a less robust fit compared to the pre-event analysis. The </w:t>
      </w:r>
      <w:r w:rsidRPr="00844368">
        <w:rPr>
          <w:rStyle w:val="Strong"/>
          <w:rFonts w:eastAsiaTheme="majorEastAsia"/>
        </w:rPr>
        <w:t>R-Squared</w:t>
      </w:r>
      <w:r w:rsidRPr="00844368">
        <w:t xml:space="preserve"> value stands at </w:t>
      </w:r>
      <w:r w:rsidRPr="00844368">
        <w:rPr>
          <w:rStyle w:val="Strong"/>
          <w:rFonts w:eastAsiaTheme="majorEastAsia"/>
        </w:rPr>
        <w:t>0.5204</w:t>
      </w:r>
      <w:r w:rsidRPr="00844368">
        <w:t xml:space="preserve">, indicating that approximately 52% of the GDP variation is explained by the model. However, the </w:t>
      </w:r>
      <w:r w:rsidRPr="00844368">
        <w:rPr>
          <w:rStyle w:val="Strong"/>
          <w:rFonts w:eastAsiaTheme="majorEastAsia"/>
        </w:rPr>
        <w:t>Adjusted R-Squared</w:t>
      </w:r>
      <w:r w:rsidRPr="00844368">
        <w:t xml:space="preserve">, which accounts for only significant predictors, drops to </w:t>
      </w:r>
      <w:r w:rsidRPr="00844368">
        <w:rPr>
          <w:rStyle w:val="Strong"/>
          <w:rFonts w:eastAsiaTheme="majorEastAsia"/>
        </w:rPr>
        <w:t>0.3896</w:t>
      </w:r>
      <w:r w:rsidRPr="00844368">
        <w:t>, suggesting the inclusion of irrelevant variables.</w:t>
      </w:r>
    </w:p>
    <w:p w14:paraId="307E13A7" w14:textId="77777777" w:rsidR="000F344D" w:rsidRPr="00844368" w:rsidRDefault="000F344D" w:rsidP="002E4D87">
      <w:pPr>
        <w:pStyle w:val="Heading5"/>
        <w:jc w:val="both"/>
      </w:pPr>
      <w:r w:rsidRPr="00844368">
        <w:rPr>
          <w:rStyle w:val="Strong"/>
        </w:rPr>
        <w:t>Key Findings</w:t>
      </w:r>
    </w:p>
    <w:p w14:paraId="6FC4C63B" w14:textId="77777777" w:rsidR="000F344D" w:rsidRPr="00844368" w:rsidRDefault="000F344D" w:rsidP="002E4D87">
      <w:pPr>
        <w:pStyle w:val="Heading4"/>
      </w:pPr>
      <w:r w:rsidRPr="00844368">
        <w:rPr>
          <w:rStyle w:val="Strong"/>
        </w:rPr>
        <w:t>Unemployment: The Sole Significant Variable</w:t>
      </w:r>
    </w:p>
    <w:p w14:paraId="6AF5BA18" w14:textId="77777777" w:rsidR="000F344D" w:rsidRPr="00844368" w:rsidRDefault="000F344D" w:rsidP="00E644A9">
      <w:pPr>
        <w:pStyle w:val="ListParagraph"/>
        <w:numPr>
          <w:ilvl w:val="1"/>
          <w:numId w:val="33"/>
        </w:numPr>
      </w:pPr>
      <w:r w:rsidRPr="00844368">
        <w:rPr>
          <w:rStyle w:val="Strong"/>
        </w:rPr>
        <w:t>Impact</w:t>
      </w:r>
      <w:r w:rsidRPr="00844368">
        <w:t xml:space="preserve">: Unemployment had a statistically significant </w:t>
      </w:r>
      <w:r w:rsidRPr="00844368">
        <w:rPr>
          <w:rStyle w:val="Strong"/>
        </w:rPr>
        <w:t>negative effect</w:t>
      </w:r>
      <w:r w:rsidRPr="00844368">
        <w:t xml:space="preserve"> on Germany’s GDP. For every 0.1% increase in unemployment, GDP decreased by approximately $1.1 billion per quarter.</w:t>
      </w:r>
    </w:p>
    <w:p w14:paraId="6FF123E0" w14:textId="77777777" w:rsidR="000F344D" w:rsidRPr="00844368" w:rsidRDefault="000F344D" w:rsidP="00E644A9">
      <w:pPr>
        <w:pStyle w:val="ListParagraph"/>
        <w:numPr>
          <w:ilvl w:val="1"/>
          <w:numId w:val="33"/>
        </w:numPr>
      </w:pPr>
      <w:r w:rsidRPr="00844368">
        <w:rPr>
          <w:rStyle w:val="Strong"/>
        </w:rPr>
        <w:t>Reasoning</w:t>
      </w:r>
      <w:r w:rsidRPr="00844368">
        <w:t>: This aligns with economic principles as rising unemployment reduces disposable income and weakens economic activity. However, unemployment rates generally fluctuate by less than 0.5% annually, limiting drastic GDP changes from this variable.</w:t>
      </w:r>
    </w:p>
    <w:p w14:paraId="10FA3DA4" w14:textId="77777777" w:rsidR="000F344D" w:rsidRPr="00844368" w:rsidRDefault="000F344D" w:rsidP="002E4D87">
      <w:pPr>
        <w:pStyle w:val="Heading4"/>
      </w:pPr>
      <w:r w:rsidRPr="00844368">
        <w:rPr>
          <w:rStyle w:val="Strong"/>
          <w:rFonts w:eastAsiaTheme="majorEastAsia"/>
        </w:rPr>
        <w:t>Insignificant Variables</w:t>
      </w:r>
    </w:p>
    <w:p w14:paraId="6B1B7A64" w14:textId="77777777" w:rsidR="000F344D" w:rsidRPr="00844368" w:rsidRDefault="000F344D" w:rsidP="00E644A9">
      <w:pPr>
        <w:pStyle w:val="ListParagraph"/>
        <w:numPr>
          <w:ilvl w:val="1"/>
          <w:numId w:val="33"/>
        </w:numPr>
      </w:pPr>
      <w:r w:rsidRPr="00844368">
        <w:rPr>
          <w:rStyle w:val="Strong"/>
        </w:rPr>
        <w:t>Inflation and Tourism</w:t>
      </w:r>
      <w:r w:rsidRPr="00844368">
        <w:t>: Neither variable showed a statistically significant impact on GDP. Their p-values exceeded the 0.05 threshold, indicating weak correlations in this context.</w:t>
      </w:r>
    </w:p>
    <w:p w14:paraId="183348EA" w14:textId="77777777" w:rsidR="000F344D" w:rsidRPr="00844368" w:rsidRDefault="000F344D" w:rsidP="002E4D87">
      <w:pPr>
        <w:pStyle w:val="Heading5"/>
        <w:jc w:val="both"/>
      </w:pPr>
      <w:r w:rsidRPr="00844368">
        <w:rPr>
          <w:rStyle w:val="Strong"/>
        </w:rPr>
        <w:t>Long-Term Contributions and Economic Legacy</w:t>
      </w:r>
    </w:p>
    <w:p w14:paraId="0280F2C8" w14:textId="7B5CB5F6" w:rsidR="000F344D" w:rsidRPr="00844368" w:rsidRDefault="000F344D" w:rsidP="002E4D87">
      <w:pPr>
        <w:jc w:val="both"/>
      </w:pPr>
      <w:r w:rsidRPr="00844368">
        <w:t xml:space="preserve">Germany’s hosting of the World Cup </w:t>
      </w:r>
      <w:r w:rsidR="003B046D" w:rsidRPr="00844368">
        <w:t>catalyzed</w:t>
      </w:r>
      <w:r w:rsidRPr="00844368">
        <w:t xml:space="preserve"> various sectors of the economy, delivering lasting benefits:</w:t>
      </w:r>
    </w:p>
    <w:p w14:paraId="27EE97DB" w14:textId="15D8E6A8" w:rsidR="000F344D" w:rsidRPr="00A8753A" w:rsidRDefault="000F344D" w:rsidP="00A8753A">
      <w:pPr>
        <w:pStyle w:val="Heading4"/>
      </w:pPr>
      <w:r w:rsidRPr="00A8753A">
        <w:rPr>
          <w:rStyle w:val="Strong"/>
          <w:bCs w:val="0"/>
        </w:rPr>
        <w:t>Employment Boosts</w:t>
      </w:r>
      <w:r w:rsidRPr="00A8753A">
        <w:t>:</w:t>
      </w:r>
    </w:p>
    <w:p w14:paraId="0744850E" w14:textId="77777777" w:rsidR="000F344D" w:rsidRPr="00844368" w:rsidRDefault="000F344D" w:rsidP="00E644A9">
      <w:pPr>
        <w:pStyle w:val="ListParagraph"/>
        <w:numPr>
          <w:ilvl w:val="1"/>
          <w:numId w:val="34"/>
        </w:numPr>
      </w:pPr>
      <w:r w:rsidRPr="00844368">
        <w:t>Preceding and following the tournament, hundreds of thousands of jobs were created, providing a steady economic stimulus.</w:t>
      </w:r>
    </w:p>
    <w:p w14:paraId="6AB1220E" w14:textId="77777777" w:rsidR="000F344D" w:rsidRPr="00844368" w:rsidRDefault="000F344D" w:rsidP="00E644A9">
      <w:pPr>
        <w:pStyle w:val="ListParagraph"/>
        <w:numPr>
          <w:ilvl w:val="1"/>
          <w:numId w:val="34"/>
        </w:numPr>
      </w:pPr>
      <w:r w:rsidRPr="00844368">
        <w:t xml:space="preserve">Significant investments were directed into the </w:t>
      </w:r>
      <w:r w:rsidRPr="00844368">
        <w:rPr>
          <w:rStyle w:val="Strong"/>
        </w:rPr>
        <w:t>Bundesliga</w:t>
      </w:r>
      <w:r w:rsidRPr="00844368">
        <w:t xml:space="preserve"> (German Football League), with over €50 million injected to enhance league quality. This allowed clubs to attract star players, improve gameplay, and elevate global viewership, creating enduring economic opportunities.</w:t>
      </w:r>
    </w:p>
    <w:p w14:paraId="2874673A" w14:textId="3CCBD3F1" w:rsidR="000F344D" w:rsidRPr="00A8753A" w:rsidRDefault="000F344D" w:rsidP="00A8753A">
      <w:pPr>
        <w:pStyle w:val="Heading4"/>
      </w:pPr>
      <w:r w:rsidRPr="00A8753A">
        <w:rPr>
          <w:rStyle w:val="Strong"/>
          <w:bCs w:val="0"/>
        </w:rPr>
        <w:t>Sponsorship Growth</w:t>
      </w:r>
      <w:r w:rsidRPr="00A8753A">
        <w:t>:</w:t>
      </w:r>
    </w:p>
    <w:p w14:paraId="14A8E461" w14:textId="77777777" w:rsidR="000F344D" w:rsidRPr="00844368" w:rsidRDefault="000F344D" w:rsidP="00E644A9">
      <w:pPr>
        <w:pStyle w:val="ListParagraph"/>
        <w:numPr>
          <w:ilvl w:val="1"/>
          <w:numId w:val="35"/>
        </w:numPr>
      </w:pPr>
      <w:r w:rsidRPr="00844368">
        <w:t>Germany’s passion for football drew global corporations to sponsor Bundesliga teams, further solidifying the league’s financial and competitive position. These sponsorships brought sustained funding into the domestic football ecosystem, contributing to long-term growth.</w:t>
      </w:r>
    </w:p>
    <w:p w14:paraId="2E4E1B94" w14:textId="77777777" w:rsidR="000F344D" w:rsidRPr="00844368" w:rsidRDefault="000F344D" w:rsidP="002E4D87">
      <w:pPr>
        <w:pStyle w:val="Heading5"/>
        <w:jc w:val="both"/>
      </w:pPr>
      <w:r w:rsidRPr="00844368">
        <w:rPr>
          <w:rStyle w:val="Strong"/>
        </w:rPr>
        <w:t>GDP Growth Insights</w:t>
      </w:r>
    </w:p>
    <w:p w14:paraId="488E2730" w14:textId="41DD15F8" w:rsidR="003B046D" w:rsidRPr="00A8753A" w:rsidRDefault="000F344D" w:rsidP="00A8753A">
      <w:pPr>
        <w:pStyle w:val="Heading4"/>
      </w:pPr>
      <w:r w:rsidRPr="00A8753A">
        <w:rPr>
          <w:rStyle w:val="Strong"/>
          <w:bCs w:val="0"/>
        </w:rPr>
        <w:t>Steady Economic Growth</w:t>
      </w:r>
      <w:r w:rsidRPr="00A8753A">
        <w:t xml:space="preserve">: </w:t>
      </w:r>
    </w:p>
    <w:p w14:paraId="0584DB67" w14:textId="09CAEA60" w:rsidR="000F344D" w:rsidRPr="00844368" w:rsidRDefault="000F344D" w:rsidP="00E644A9">
      <w:pPr>
        <w:pStyle w:val="ListParagraph"/>
        <w:numPr>
          <w:ilvl w:val="0"/>
          <w:numId w:val="32"/>
        </w:numPr>
      </w:pPr>
      <w:r w:rsidRPr="00844368">
        <w:t xml:space="preserve">Germany experienced consistent GDP growth, rising from approximately </w:t>
      </w:r>
      <w:r w:rsidRPr="00844368">
        <w:rPr>
          <w:rStyle w:val="Strong"/>
        </w:rPr>
        <w:t>$592 billion in Q1 2003</w:t>
      </w:r>
      <w:r w:rsidRPr="00844368">
        <w:t xml:space="preserve"> to nearly </w:t>
      </w:r>
      <w:r w:rsidRPr="00844368">
        <w:rPr>
          <w:rStyle w:val="Strong"/>
        </w:rPr>
        <w:t>$800 billion by Q4 2006</w:t>
      </w:r>
      <w:r w:rsidRPr="00844368">
        <w:t xml:space="preserve">, marking a </w:t>
      </w:r>
      <w:r w:rsidRPr="00844368">
        <w:rPr>
          <w:rStyle w:val="Strong"/>
        </w:rPr>
        <w:t>33% increase over three years</w:t>
      </w:r>
      <w:r w:rsidRPr="00844368">
        <w:t>.</w:t>
      </w:r>
    </w:p>
    <w:p w14:paraId="6CFC03E3" w14:textId="5E0D8BB3" w:rsidR="003B046D" w:rsidRPr="00A8753A" w:rsidRDefault="000F344D" w:rsidP="00A8753A">
      <w:pPr>
        <w:pStyle w:val="Heading4"/>
      </w:pPr>
      <w:r w:rsidRPr="00A8753A">
        <w:rPr>
          <w:rStyle w:val="Strong"/>
          <w:bCs w:val="0"/>
        </w:rPr>
        <w:t>Quarterly GDP Growth</w:t>
      </w:r>
      <w:r w:rsidRPr="00A8753A">
        <w:t xml:space="preserve">: </w:t>
      </w:r>
    </w:p>
    <w:p w14:paraId="54E1C1B4" w14:textId="10822CC4" w:rsidR="000F344D" w:rsidRPr="00844368" w:rsidRDefault="000F344D" w:rsidP="00E644A9">
      <w:pPr>
        <w:pStyle w:val="ListParagraph"/>
        <w:numPr>
          <w:ilvl w:val="0"/>
          <w:numId w:val="32"/>
        </w:numPr>
      </w:pPr>
      <w:r w:rsidRPr="00844368">
        <w:t xml:space="preserve">While GDP growth was negative in 2003, it surged in 2006, ranging between </w:t>
      </w:r>
      <w:r w:rsidRPr="00844368">
        <w:rPr>
          <w:rStyle w:val="Strong"/>
        </w:rPr>
        <w:t>2.8% and 5.0%</w:t>
      </w:r>
      <w:r w:rsidRPr="00844368">
        <w:t>, highlighting the event's positive short-term economic impact. The year of the World Cup saw the greatest economic growth, underscoring the benefits of hosting such a mega-event.</w:t>
      </w:r>
    </w:p>
    <w:p w14:paraId="30C004BD" w14:textId="7955A2CC" w:rsidR="003B046D" w:rsidRDefault="003B046D" w:rsidP="003B046D">
      <w:pPr>
        <w:jc w:val="both"/>
      </w:pPr>
    </w:p>
    <w:p w14:paraId="1BAD9285" w14:textId="470B432C" w:rsidR="003B046D" w:rsidRDefault="003B046D" w:rsidP="003B046D">
      <w:r w:rsidRPr="00844368">
        <w:rPr>
          <w:noProof/>
        </w:rPr>
        <w:drawing>
          <wp:inline distT="0" distB="0" distL="0" distR="0" wp14:anchorId="161CD869" wp14:editId="78F565F7">
            <wp:extent cx="3089910" cy="1843471"/>
            <wp:effectExtent l="0" t="0" r="0" b="444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843471"/>
                    </a:xfrm>
                    <a:prstGeom prst="rect">
                      <a:avLst/>
                    </a:prstGeom>
                  </pic:spPr>
                </pic:pic>
              </a:graphicData>
            </a:graphic>
          </wp:inline>
        </w:drawing>
      </w:r>
    </w:p>
    <w:p w14:paraId="51829DBA" w14:textId="43BB931C" w:rsidR="003B046D" w:rsidRDefault="003B046D" w:rsidP="00E644A9">
      <w:pPr>
        <w:pStyle w:val="figurecaption"/>
        <w:numPr>
          <w:ilvl w:val="0"/>
          <w:numId w:val="36"/>
        </w:numPr>
        <w:jc w:val="center"/>
      </w:pPr>
      <w:r>
        <w:t>Germany GDP Before and After Hosting the 2006 FIFA World Cup</w:t>
      </w:r>
    </w:p>
    <w:p w14:paraId="1AE9C4F6" w14:textId="77777777" w:rsidR="003B046D" w:rsidRDefault="003B046D" w:rsidP="003B046D">
      <w:pPr>
        <w:jc w:val="both"/>
      </w:pPr>
    </w:p>
    <w:p w14:paraId="1535C36C" w14:textId="22CA75B2" w:rsidR="003B046D" w:rsidRDefault="00A04C66" w:rsidP="003B046D">
      <w:r w:rsidRPr="00A04C66">
        <w:rPr>
          <w:noProof/>
        </w:rPr>
        <w:drawing>
          <wp:inline distT="0" distB="0" distL="0" distR="0" wp14:anchorId="4C11F66B" wp14:editId="5D7185E2">
            <wp:extent cx="3089910" cy="1918970"/>
            <wp:effectExtent l="0" t="0" r="0" b="508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918970"/>
                    </a:xfrm>
                    <a:prstGeom prst="rect">
                      <a:avLst/>
                    </a:prstGeom>
                  </pic:spPr>
                </pic:pic>
              </a:graphicData>
            </a:graphic>
          </wp:inline>
        </w:drawing>
      </w:r>
    </w:p>
    <w:p w14:paraId="4A96C699" w14:textId="250E7DC5" w:rsidR="003B046D" w:rsidRDefault="003B046D" w:rsidP="003B046D">
      <w:pPr>
        <w:pStyle w:val="figurecaption"/>
        <w:jc w:val="center"/>
      </w:pPr>
      <w:r>
        <w:t>Unemployment Rate Before and After Hosting the FIFA World Cup</w:t>
      </w:r>
    </w:p>
    <w:p w14:paraId="37FBA903" w14:textId="4C8FA5A4" w:rsidR="003B046D" w:rsidRDefault="003B046D" w:rsidP="003B046D">
      <w:pPr>
        <w:pStyle w:val="figurecaption"/>
        <w:numPr>
          <w:ilvl w:val="0"/>
          <w:numId w:val="0"/>
        </w:numPr>
        <w:jc w:val="center"/>
      </w:pPr>
      <w:r w:rsidRPr="00844368">
        <w:rPr>
          <w:sz w:val="20"/>
          <w:szCs w:val="20"/>
        </w:rPr>
        <w:drawing>
          <wp:inline distT="0" distB="0" distL="0" distR="0" wp14:anchorId="3DD25E58" wp14:editId="64C54442">
            <wp:extent cx="3089910" cy="1843471"/>
            <wp:effectExtent l="0" t="0" r="0" b="4445"/>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843471"/>
                    </a:xfrm>
                    <a:prstGeom prst="rect">
                      <a:avLst/>
                    </a:prstGeom>
                  </pic:spPr>
                </pic:pic>
              </a:graphicData>
            </a:graphic>
          </wp:inline>
        </w:drawing>
      </w:r>
    </w:p>
    <w:p w14:paraId="277A9763" w14:textId="091C44FA" w:rsidR="003B046D" w:rsidRDefault="003B046D" w:rsidP="003B046D">
      <w:pPr>
        <w:pStyle w:val="figurecaption"/>
        <w:jc w:val="center"/>
      </w:pPr>
      <w:r>
        <w:lastRenderedPageBreak/>
        <w:t>Infrastructure Investments Before and After FIFA World Cup</w:t>
      </w:r>
    </w:p>
    <w:p w14:paraId="1C8EF2FB" w14:textId="339EFCDA" w:rsidR="003B046D" w:rsidRDefault="003B046D" w:rsidP="003B046D">
      <w:pPr>
        <w:pStyle w:val="figurecaption"/>
        <w:numPr>
          <w:ilvl w:val="0"/>
          <w:numId w:val="0"/>
        </w:numPr>
        <w:pBdr>
          <w:bottom w:val="single" w:sz="6" w:space="1" w:color="auto"/>
        </w:pBdr>
      </w:pPr>
    </w:p>
    <w:p w14:paraId="42CF9867" w14:textId="77777777" w:rsidR="003B046D" w:rsidRDefault="003B046D" w:rsidP="003B046D">
      <w:pPr>
        <w:pStyle w:val="figurecaption"/>
        <w:numPr>
          <w:ilvl w:val="0"/>
          <w:numId w:val="0"/>
        </w:numPr>
      </w:pPr>
    </w:p>
    <w:p w14:paraId="25750B08" w14:textId="77777777" w:rsidR="003B046D" w:rsidRPr="00844368" w:rsidRDefault="003B046D" w:rsidP="00A8753A">
      <w:pPr>
        <w:pStyle w:val="Heading2"/>
        <w:jc w:val="both"/>
      </w:pPr>
      <w:r w:rsidRPr="00844368">
        <w:t>Regression Analysis for Brazil: Economic Challenges and Social Backdrop</w:t>
      </w:r>
    </w:p>
    <w:p w14:paraId="1634EF6D" w14:textId="77777777" w:rsidR="003B046D" w:rsidRPr="00844368" w:rsidRDefault="003B046D" w:rsidP="00A8753A">
      <w:pPr>
        <w:jc w:val="both"/>
      </w:pPr>
      <w:r w:rsidRPr="00844368">
        <w:t>The economic and social conditions surrounding Brazil’s hosting of the FIFA World Cup in 2014 were starkly different from those in Germany during the 2006 tournament. Brazil faced a more volatile economic climate, marked by widespread public discontent and heightened tensions.</w:t>
      </w:r>
    </w:p>
    <w:p w14:paraId="07D1E0F3" w14:textId="77777777" w:rsidR="003B046D" w:rsidRPr="00844368" w:rsidRDefault="003B046D" w:rsidP="00A8753A">
      <w:pPr>
        <w:pStyle w:val="Heading4"/>
      </w:pPr>
      <w:r w:rsidRPr="00844368">
        <w:rPr>
          <w:rStyle w:val="Strong"/>
        </w:rPr>
        <w:t>Social and Economic Context</w:t>
      </w:r>
    </w:p>
    <w:p w14:paraId="19AF6E2C" w14:textId="77777777" w:rsidR="003B046D" w:rsidRPr="00844368" w:rsidRDefault="003B046D" w:rsidP="00E644A9">
      <w:pPr>
        <w:pStyle w:val="ListParagraph"/>
        <w:numPr>
          <w:ilvl w:val="0"/>
          <w:numId w:val="37"/>
        </w:numPr>
      </w:pPr>
      <w:r w:rsidRPr="00844368">
        <w:rPr>
          <w:rStyle w:val="Strong"/>
          <w:rFonts w:eastAsiaTheme="majorEastAsia"/>
        </w:rPr>
        <w:t>Public Protests</w:t>
      </w:r>
      <w:r w:rsidRPr="00844368">
        <w:t>:</w:t>
      </w:r>
      <w:r w:rsidRPr="00844368">
        <w:br/>
        <w:t>In the years leading up to the tournament, Brazil witnessed widespread protests and labour strikes. Construction workers, integral to building the tournament's infrastructure, staged multiple demonstrations to protest poor working conditions and low wages.</w:t>
      </w:r>
    </w:p>
    <w:p w14:paraId="7A2241AF" w14:textId="77777777" w:rsidR="003B046D" w:rsidRPr="00844368" w:rsidRDefault="003B046D" w:rsidP="00E644A9">
      <w:pPr>
        <w:pStyle w:val="ListParagraph"/>
        <w:numPr>
          <w:ilvl w:val="0"/>
          <w:numId w:val="37"/>
        </w:numPr>
      </w:pPr>
      <w:r w:rsidRPr="00844368">
        <w:rPr>
          <w:b/>
        </w:rPr>
        <w:t>Misallocation of Funds:</w:t>
      </w:r>
      <w:r w:rsidRPr="00844368">
        <w:br/>
        <w:t>Public outcry grew over perceived financial mismanagement. Billions were invested in stadiums and infrastructure while pressing societal needs like healthcare, education, and public transportation were underfunded. These issues fuelled national frustration and intensified the scrutiny of Brazil’s World Cup preparations.</w:t>
      </w:r>
    </w:p>
    <w:p w14:paraId="0F3EBD28" w14:textId="77777777" w:rsidR="003B046D" w:rsidRPr="00844368" w:rsidRDefault="003B046D" w:rsidP="00A8753A">
      <w:pPr>
        <w:pStyle w:val="Heading4"/>
      </w:pPr>
      <w:r w:rsidRPr="00844368">
        <w:rPr>
          <w:rStyle w:val="Strong"/>
        </w:rPr>
        <w:t>Comparative Perspective</w:t>
      </w:r>
    </w:p>
    <w:p w14:paraId="74EB4E44" w14:textId="77777777" w:rsidR="003B046D" w:rsidRPr="00844368" w:rsidRDefault="003B046D" w:rsidP="00A8753A">
      <w:pPr>
        <w:jc w:val="both"/>
      </w:pPr>
      <w:r w:rsidRPr="00844368">
        <w:t>Unlike Germany, where political stability and robust infrastructure underpinned the event’s success, Brazil struggled to balance the demands of hosting a mega-event with its socio-economic challenges. The tension between massive public expenditures and unmet societal needs highlighted the difficulties developing nations face in hosting global events of this magnitude.</w:t>
      </w:r>
    </w:p>
    <w:p w14:paraId="02268363" w14:textId="77777777" w:rsidR="003B046D" w:rsidRPr="00844368" w:rsidRDefault="003B046D" w:rsidP="00A8753A">
      <w:pPr>
        <w:jc w:val="both"/>
      </w:pPr>
    </w:p>
    <w:p w14:paraId="70887B9A" w14:textId="17883A5B" w:rsidR="003B046D" w:rsidRPr="002E4D87" w:rsidRDefault="002E4D87" w:rsidP="00A8753A">
      <w:pPr>
        <w:pStyle w:val="tablehead"/>
        <w:jc w:val="both"/>
      </w:pPr>
      <w:r>
        <w:t>Brazil prior to the 2014 World Cup</w:t>
      </w:r>
    </w:p>
    <w:tbl>
      <w:tblPr>
        <w:tblStyle w:val="TableGrid"/>
        <w:tblW w:w="0pt" w:type="dxa"/>
        <w:tblBorders>
          <w:start w:val="none" w:sz="0" w:space="0" w:color="auto"/>
          <w:end w:val="none" w:sz="0" w:space="0" w:color="auto"/>
          <w:insideV w:val="none" w:sz="0" w:space="0" w:color="auto"/>
        </w:tblBorders>
        <w:tblLook w:firstRow="1" w:lastRow="0" w:firstColumn="1" w:lastColumn="0" w:noHBand="0" w:noVBand="1"/>
      </w:tblPr>
      <w:tblGrid>
        <w:gridCol w:w="1230"/>
        <w:gridCol w:w="909"/>
        <w:gridCol w:w="909"/>
        <w:gridCol w:w="909"/>
        <w:gridCol w:w="909"/>
      </w:tblGrid>
      <w:tr w:rsidR="003B046D" w:rsidRPr="00844368" w14:paraId="4828BBE7" w14:textId="77777777" w:rsidTr="00A8753A">
        <w:tc>
          <w:tcPr>
            <w:tcW w:w="138.70pt" w:type="dxa"/>
            <w:tcBorders>
              <w:top w:val="single" w:sz="4" w:space="0" w:color="auto"/>
              <w:bottom w:val="single" w:sz="4" w:space="0" w:color="auto"/>
            </w:tcBorders>
          </w:tcPr>
          <w:p w14:paraId="3EFAB80F" w14:textId="77777777" w:rsidR="003B046D" w:rsidRPr="00844368" w:rsidRDefault="003B046D" w:rsidP="00A8753A">
            <w:pPr>
              <w:jc w:val="both"/>
              <w:rPr>
                <w:rFonts w:ascii="Times New Roman" w:hAnsi="Times New Roman" w:cs="Times New Roman"/>
                <w:i/>
                <w:sz w:val="20"/>
                <w:szCs w:val="20"/>
              </w:rPr>
            </w:pPr>
            <w:r w:rsidRPr="00844368">
              <w:rPr>
                <w:rFonts w:ascii="Times New Roman" w:hAnsi="Times New Roman" w:cs="Times New Roman"/>
                <w:i/>
                <w:sz w:val="20"/>
                <w:szCs w:val="20"/>
              </w:rPr>
              <w:t>Variable</w:t>
            </w:r>
          </w:p>
        </w:tc>
        <w:tc>
          <w:tcPr>
            <w:tcW w:w="75.05pt" w:type="dxa"/>
            <w:tcBorders>
              <w:top w:val="single" w:sz="4" w:space="0" w:color="auto"/>
              <w:bottom w:val="single" w:sz="4" w:space="0" w:color="auto"/>
            </w:tcBorders>
          </w:tcPr>
          <w:p w14:paraId="3373EDB1" w14:textId="77777777" w:rsidR="003B046D" w:rsidRPr="00844368" w:rsidRDefault="003B046D" w:rsidP="00A8753A">
            <w:pPr>
              <w:jc w:val="both"/>
              <w:rPr>
                <w:rFonts w:ascii="Times New Roman" w:hAnsi="Times New Roman" w:cs="Times New Roman"/>
                <w:i/>
                <w:sz w:val="20"/>
                <w:szCs w:val="20"/>
              </w:rPr>
            </w:pPr>
            <w:r w:rsidRPr="00844368">
              <w:rPr>
                <w:rFonts w:ascii="Times New Roman" w:hAnsi="Times New Roman" w:cs="Times New Roman"/>
                <w:i/>
                <w:sz w:val="20"/>
                <w:szCs w:val="20"/>
              </w:rPr>
              <w:t>Co-efficient</w:t>
            </w:r>
          </w:p>
        </w:tc>
        <w:tc>
          <w:tcPr>
            <w:tcW w:w="82pt" w:type="dxa"/>
            <w:tcBorders>
              <w:top w:val="single" w:sz="4" w:space="0" w:color="auto"/>
              <w:bottom w:val="single" w:sz="4" w:space="0" w:color="auto"/>
            </w:tcBorders>
          </w:tcPr>
          <w:p w14:paraId="01727BC4" w14:textId="77777777" w:rsidR="003B046D" w:rsidRPr="00844368" w:rsidRDefault="003B046D" w:rsidP="00A8753A">
            <w:pPr>
              <w:jc w:val="both"/>
              <w:rPr>
                <w:rFonts w:ascii="Times New Roman" w:hAnsi="Times New Roman" w:cs="Times New Roman"/>
                <w:i/>
                <w:sz w:val="20"/>
                <w:szCs w:val="20"/>
              </w:rPr>
            </w:pPr>
            <w:r w:rsidRPr="00844368">
              <w:rPr>
                <w:rFonts w:ascii="Times New Roman" w:hAnsi="Times New Roman" w:cs="Times New Roman"/>
                <w:i/>
                <w:sz w:val="20"/>
                <w:szCs w:val="20"/>
              </w:rPr>
              <w:t>Error</w:t>
            </w:r>
          </w:p>
        </w:tc>
        <w:tc>
          <w:tcPr>
            <w:tcW w:w="80.05pt" w:type="dxa"/>
            <w:tcBorders>
              <w:top w:val="single" w:sz="4" w:space="0" w:color="auto"/>
              <w:bottom w:val="single" w:sz="4" w:space="0" w:color="auto"/>
            </w:tcBorders>
          </w:tcPr>
          <w:p w14:paraId="2002C73A" w14:textId="77777777" w:rsidR="003B046D" w:rsidRPr="00844368" w:rsidRDefault="003B046D" w:rsidP="00A8753A">
            <w:pPr>
              <w:jc w:val="both"/>
              <w:rPr>
                <w:rFonts w:ascii="Times New Roman" w:hAnsi="Times New Roman" w:cs="Times New Roman"/>
                <w:i/>
                <w:sz w:val="20"/>
                <w:szCs w:val="20"/>
              </w:rPr>
            </w:pPr>
            <w:r w:rsidRPr="00844368">
              <w:rPr>
                <w:rFonts w:ascii="Times New Roman" w:hAnsi="Times New Roman" w:cs="Times New Roman"/>
                <w:i/>
                <w:sz w:val="20"/>
                <w:szCs w:val="20"/>
              </w:rPr>
              <w:t>t-Stat</w:t>
            </w:r>
          </w:p>
        </w:tc>
        <w:tc>
          <w:tcPr>
            <w:tcW w:w="75.50pt" w:type="dxa"/>
            <w:tcBorders>
              <w:top w:val="single" w:sz="4" w:space="0" w:color="auto"/>
              <w:bottom w:val="single" w:sz="4" w:space="0" w:color="auto"/>
            </w:tcBorders>
          </w:tcPr>
          <w:p w14:paraId="25A1B851" w14:textId="77777777" w:rsidR="003B046D" w:rsidRPr="00844368" w:rsidRDefault="003B046D" w:rsidP="00A8753A">
            <w:pPr>
              <w:jc w:val="both"/>
              <w:rPr>
                <w:rFonts w:ascii="Times New Roman" w:hAnsi="Times New Roman" w:cs="Times New Roman"/>
                <w:i/>
                <w:sz w:val="20"/>
                <w:szCs w:val="20"/>
              </w:rPr>
            </w:pPr>
            <w:r w:rsidRPr="00844368">
              <w:rPr>
                <w:rFonts w:ascii="Times New Roman" w:hAnsi="Times New Roman" w:cs="Times New Roman"/>
                <w:i/>
                <w:sz w:val="20"/>
                <w:szCs w:val="20"/>
              </w:rPr>
              <w:t>P-value</w:t>
            </w:r>
          </w:p>
        </w:tc>
      </w:tr>
      <w:tr w:rsidR="003B046D" w:rsidRPr="00844368" w14:paraId="1F2AAA4E" w14:textId="77777777" w:rsidTr="00A8753A">
        <w:tc>
          <w:tcPr>
            <w:tcW w:w="138.70pt" w:type="dxa"/>
            <w:tcBorders>
              <w:top w:val="single" w:sz="4" w:space="0" w:color="auto"/>
              <w:bottom w:val="nil"/>
            </w:tcBorders>
          </w:tcPr>
          <w:p w14:paraId="5DBD5F26"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Intercept</w:t>
            </w:r>
          </w:p>
        </w:tc>
        <w:tc>
          <w:tcPr>
            <w:tcW w:w="75.05pt" w:type="dxa"/>
            <w:tcBorders>
              <w:top w:val="single" w:sz="4" w:space="0" w:color="auto"/>
              <w:bottom w:val="nil"/>
            </w:tcBorders>
          </w:tcPr>
          <w:p w14:paraId="44F82F3D"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531.65214 </w:t>
            </w:r>
          </w:p>
        </w:tc>
        <w:tc>
          <w:tcPr>
            <w:tcW w:w="82pt" w:type="dxa"/>
            <w:tcBorders>
              <w:top w:val="single" w:sz="4" w:space="0" w:color="auto"/>
              <w:bottom w:val="nil"/>
            </w:tcBorders>
          </w:tcPr>
          <w:p w14:paraId="0039095C"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88.708234 </w:t>
            </w:r>
          </w:p>
        </w:tc>
        <w:tc>
          <w:tcPr>
            <w:tcW w:w="80.05pt" w:type="dxa"/>
            <w:tcBorders>
              <w:top w:val="single" w:sz="4" w:space="0" w:color="auto"/>
              <w:bottom w:val="nil"/>
            </w:tcBorders>
          </w:tcPr>
          <w:p w14:paraId="2728CBDD"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5.9932671 </w:t>
            </w:r>
          </w:p>
        </w:tc>
        <w:tc>
          <w:tcPr>
            <w:tcW w:w="75.50pt" w:type="dxa"/>
            <w:tcBorders>
              <w:top w:val="single" w:sz="4" w:space="0" w:color="auto"/>
              <w:bottom w:val="nil"/>
            </w:tcBorders>
          </w:tcPr>
          <w:p w14:paraId="6321B507"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0.0005459</w:t>
            </w:r>
          </w:p>
        </w:tc>
      </w:tr>
      <w:tr w:rsidR="003B046D" w:rsidRPr="00844368" w14:paraId="2D1046D7" w14:textId="77777777" w:rsidTr="00E86CFE">
        <w:tc>
          <w:tcPr>
            <w:tcW w:w="138.70pt" w:type="dxa"/>
            <w:tcBorders>
              <w:top w:val="nil"/>
              <w:bottom w:val="nil"/>
            </w:tcBorders>
          </w:tcPr>
          <w:p w14:paraId="42D4473B"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Inflation (%)</w:t>
            </w:r>
          </w:p>
        </w:tc>
        <w:tc>
          <w:tcPr>
            <w:tcW w:w="75.05pt" w:type="dxa"/>
            <w:tcBorders>
              <w:top w:val="nil"/>
              <w:bottom w:val="nil"/>
            </w:tcBorders>
          </w:tcPr>
          <w:p w14:paraId="64BD748E"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0.4513574 </w:t>
            </w:r>
          </w:p>
        </w:tc>
        <w:tc>
          <w:tcPr>
            <w:tcW w:w="82pt" w:type="dxa"/>
            <w:tcBorders>
              <w:top w:val="nil"/>
              <w:bottom w:val="nil"/>
            </w:tcBorders>
          </w:tcPr>
          <w:p w14:paraId="532D486C"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5.5292968 </w:t>
            </w:r>
          </w:p>
        </w:tc>
        <w:tc>
          <w:tcPr>
            <w:tcW w:w="80.05pt" w:type="dxa"/>
            <w:tcBorders>
              <w:top w:val="nil"/>
              <w:bottom w:val="nil"/>
            </w:tcBorders>
          </w:tcPr>
          <w:p w14:paraId="0B40331A"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0.0816301 </w:t>
            </w:r>
          </w:p>
        </w:tc>
        <w:tc>
          <w:tcPr>
            <w:tcW w:w="75.50pt" w:type="dxa"/>
            <w:tcBorders>
              <w:top w:val="nil"/>
              <w:bottom w:val="nil"/>
            </w:tcBorders>
          </w:tcPr>
          <w:p w14:paraId="38F51415"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0.4513574 </w:t>
            </w:r>
          </w:p>
        </w:tc>
      </w:tr>
      <w:tr w:rsidR="003B046D" w:rsidRPr="00844368" w14:paraId="1938E5EB" w14:textId="77777777" w:rsidTr="00E86CFE">
        <w:tc>
          <w:tcPr>
            <w:tcW w:w="138.70pt" w:type="dxa"/>
            <w:tcBorders>
              <w:top w:val="nil"/>
              <w:bottom w:val="nil"/>
            </w:tcBorders>
          </w:tcPr>
          <w:p w14:paraId="647A7E72"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Quarterly Tourism Revenue Growth (%)</w:t>
            </w:r>
          </w:p>
        </w:tc>
        <w:tc>
          <w:tcPr>
            <w:tcW w:w="75.05pt" w:type="dxa"/>
            <w:tcBorders>
              <w:top w:val="nil"/>
              <w:bottom w:val="nil"/>
            </w:tcBorders>
          </w:tcPr>
          <w:p w14:paraId="4A51BB2C"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-0.009454  </w:t>
            </w:r>
          </w:p>
        </w:tc>
        <w:tc>
          <w:tcPr>
            <w:tcW w:w="82pt" w:type="dxa"/>
            <w:tcBorders>
              <w:top w:val="nil"/>
              <w:bottom w:val="nil"/>
            </w:tcBorders>
          </w:tcPr>
          <w:p w14:paraId="3C866612"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0.0555889</w:t>
            </w:r>
          </w:p>
        </w:tc>
        <w:tc>
          <w:tcPr>
            <w:tcW w:w="80.05pt" w:type="dxa"/>
            <w:tcBorders>
              <w:top w:val="nil"/>
              <w:bottom w:val="nil"/>
            </w:tcBorders>
          </w:tcPr>
          <w:p w14:paraId="0B068746"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-0.1700832</w:t>
            </w:r>
          </w:p>
        </w:tc>
        <w:tc>
          <w:tcPr>
            <w:tcW w:w="75.50pt" w:type="dxa"/>
            <w:tcBorders>
              <w:top w:val="nil"/>
              <w:bottom w:val="nil"/>
            </w:tcBorders>
          </w:tcPr>
          <w:p w14:paraId="14804DE4"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0.8697559</w:t>
            </w:r>
          </w:p>
        </w:tc>
      </w:tr>
      <w:tr w:rsidR="003B046D" w:rsidRPr="00844368" w14:paraId="15A3CCFC" w14:textId="77777777" w:rsidTr="00E86CFE">
        <w:tc>
          <w:tcPr>
            <w:tcW w:w="138.70pt" w:type="dxa"/>
            <w:tcBorders>
              <w:top w:val="nil"/>
              <w:bottom w:val="nil"/>
            </w:tcBorders>
          </w:tcPr>
          <w:p w14:paraId="36D923CA"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Unemployment (%)</w:t>
            </w:r>
          </w:p>
        </w:tc>
        <w:tc>
          <w:tcPr>
            <w:tcW w:w="75.05pt" w:type="dxa"/>
            <w:tcBorders>
              <w:top w:val="nil"/>
              <w:bottom w:val="nil"/>
            </w:tcBorders>
          </w:tcPr>
          <w:p w14:paraId="433ED7CC"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-45.35935 </w:t>
            </w:r>
          </w:p>
        </w:tc>
        <w:tc>
          <w:tcPr>
            <w:tcW w:w="82pt" w:type="dxa"/>
            <w:tcBorders>
              <w:top w:val="nil"/>
              <w:bottom w:val="nil"/>
            </w:tcBorders>
          </w:tcPr>
          <w:p w14:paraId="5CE977A9"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14.358043 </w:t>
            </w:r>
          </w:p>
        </w:tc>
        <w:tc>
          <w:tcPr>
            <w:tcW w:w="80.05pt" w:type="dxa"/>
            <w:tcBorders>
              <w:top w:val="nil"/>
              <w:bottom w:val="nil"/>
              <w:end w:val="nil"/>
            </w:tcBorders>
          </w:tcPr>
          <w:p w14:paraId="03A08456"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-3.1591601 </w:t>
            </w:r>
          </w:p>
        </w:tc>
        <w:tc>
          <w:tcPr>
            <w:tcW w:w="75.50pt" w:type="dxa"/>
            <w:tcBorders>
              <w:top w:val="nil"/>
              <w:start w:val="nil"/>
              <w:bottom w:val="nil"/>
            </w:tcBorders>
          </w:tcPr>
          <w:p w14:paraId="400186F9"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0.0159469 </w:t>
            </w:r>
          </w:p>
        </w:tc>
      </w:tr>
      <w:tr w:rsidR="003B046D" w:rsidRPr="00844368" w14:paraId="3ECF9058" w14:textId="77777777" w:rsidTr="00A8753A">
        <w:tc>
          <w:tcPr>
            <w:tcW w:w="138.70pt" w:type="dxa"/>
            <w:tcBorders>
              <w:top w:val="nil"/>
              <w:bottom w:val="nil"/>
            </w:tcBorders>
          </w:tcPr>
          <w:p w14:paraId="47FBA0CF"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Investment in Stadium (billions)</w:t>
            </w:r>
          </w:p>
        </w:tc>
        <w:tc>
          <w:tcPr>
            <w:tcW w:w="75.05pt" w:type="dxa"/>
            <w:tcBorders>
              <w:top w:val="nil"/>
              <w:bottom w:val="nil"/>
            </w:tcBorders>
          </w:tcPr>
          <w:p w14:paraId="1B55070F"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89.719754 </w:t>
            </w:r>
          </w:p>
        </w:tc>
        <w:tc>
          <w:tcPr>
            <w:tcW w:w="82pt" w:type="dxa"/>
            <w:tcBorders>
              <w:top w:val="nil"/>
              <w:bottom w:val="nil"/>
            </w:tcBorders>
          </w:tcPr>
          <w:p w14:paraId="27FC8678"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27.972343 </w:t>
            </w:r>
          </w:p>
        </w:tc>
        <w:tc>
          <w:tcPr>
            <w:tcW w:w="80.05pt" w:type="dxa"/>
            <w:tcBorders>
              <w:top w:val="nil"/>
              <w:bottom w:val="nil"/>
              <w:end w:val="nil"/>
            </w:tcBorders>
          </w:tcPr>
          <w:p w14:paraId="1DBF7007"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3.2074449 </w:t>
            </w:r>
          </w:p>
        </w:tc>
        <w:tc>
          <w:tcPr>
            <w:tcW w:w="75.50pt" w:type="dxa"/>
            <w:tcBorders>
              <w:top w:val="nil"/>
              <w:start w:val="nil"/>
              <w:bottom w:val="nil"/>
            </w:tcBorders>
          </w:tcPr>
          <w:p w14:paraId="54398C7E"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0.0149108</w:t>
            </w:r>
          </w:p>
        </w:tc>
      </w:tr>
      <w:tr w:rsidR="003B046D" w:rsidRPr="00844368" w14:paraId="36FC9799" w14:textId="77777777" w:rsidTr="00A8753A">
        <w:tc>
          <w:tcPr>
            <w:tcW w:w="138.70pt" w:type="dxa"/>
            <w:tcBorders>
              <w:top w:val="nil"/>
              <w:bottom w:val="single" w:sz="4" w:space="0" w:color="auto"/>
            </w:tcBorders>
          </w:tcPr>
          <w:p w14:paraId="3BE16041"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Investment in </w:t>
            </w:r>
            <w:r w:rsidRPr="00844368">
              <w:rPr>
                <w:rFonts w:ascii="Times New Roman" w:hAnsi="Times New Roman" w:cs="Times New Roman"/>
                <w:sz w:val="20"/>
                <w:szCs w:val="20"/>
              </w:rPr>
              <w:t>Infrastructure (billions)</w:t>
            </w:r>
          </w:p>
        </w:tc>
        <w:tc>
          <w:tcPr>
            <w:tcW w:w="75.05pt" w:type="dxa"/>
            <w:tcBorders>
              <w:top w:val="nil"/>
              <w:bottom w:val="single" w:sz="4" w:space="0" w:color="auto"/>
            </w:tcBorders>
          </w:tcPr>
          <w:p w14:paraId="503660C0"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-51.98177 </w:t>
            </w:r>
          </w:p>
        </w:tc>
        <w:tc>
          <w:tcPr>
            <w:tcW w:w="82pt" w:type="dxa"/>
            <w:tcBorders>
              <w:top w:val="nil"/>
              <w:bottom w:val="single" w:sz="4" w:space="0" w:color="auto"/>
            </w:tcBorders>
          </w:tcPr>
          <w:p w14:paraId="512A75FF"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58.923079 </w:t>
            </w:r>
          </w:p>
        </w:tc>
        <w:tc>
          <w:tcPr>
            <w:tcW w:w="80.05pt" w:type="dxa"/>
            <w:tcBorders>
              <w:top w:val="nil"/>
              <w:bottom w:val="single" w:sz="4" w:space="0" w:color="auto"/>
              <w:end w:val="nil"/>
            </w:tcBorders>
          </w:tcPr>
          <w:p w14:paraId="64FDA614"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-0.8821972 </w:t>
            </w:r>
          </w:p>
        </w:tc>
        <w:tc>
          <w:tcPr>
            <w:tcW w:w="75.50pt" w:type="dxa"/>
            <w:tcBorders>
              <w:top w:val="nil"/>
              <w:start w:val="nil"/>
              <w:bottom w:val="single" w:sz="4" w:space="0" w:color="auto"/>
            </w:tcBorders>
          </w:tcPr>
          <w:p w14:paraId="71D9436D"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0.4069423</w:t>
            </w:r>
          </w:p>
        </w:tc>
      </w:tr>
    </w:tbl>
    <w:p w14:paraId="13508ABF" w14:textId="77777777" w:rsidR="003B046D" w:rsidRPr="00844368" w:rsidRDefault="003B046D" w:rsidP="00A8753A">
      <w:pPr>
        <w:jc w:val="both"/>
      </w:pPr>
    </w:p>
    <w:tbl>
      <w:tblPr>
        <w:tblStyle w:val="TableGrid"/>
        <w:tblW w:w="0pt" w:type="dxa"/>
        <w:tblBorders>
          <w:top w:val="none" w:sz="0" w:space="0" w:color="auto"/>
          <w:start w:val="none" w:sz="0" w:space="0" w:color="auto"/>
          <w:end w:val="none" w:sz="0" w:space="0" w:color="auto"/>
          <w:insideH w:val="none" w:sz="0" w:space="0" w:color="auto"/>
          <w:insideV w:val="none" w:sz="0" w:space="0" w:color="auto"/>
        </w:tblBorders>
        <w:tblLook w:firstRow="1" w:lastRow="0" w:firstColumn="1" w:lastColumn="0" w:noHBand="0" w:noVBand="1"/>
      </w:tblPr>
      <w:tblGrid>
        <w:gridCol w:w="1932"/>
        <w:gridCol w:w="2934"/>
      </w:tblGrid>
      <w:tr w:rsidR="003B046D" w:rsidRPr="00844368" w14:paraId="1275C7A3" w14:textId="77777777" w:rsidTr="00E86CFE">
        <w:trPr>
          <w:trHeight w:val="253"/>
        </w:trPr>
        <w:tc>
          <w:tcPr>
            <w:tcW w:w="139.50pt" w:type="dxa"/>
          </w:tcPr>
          <w:p w14:paraId="13E783C7"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R-Squared                     </w:t>
            </w:r>
          </w:p>
        </w:tc>
        <w:tc>
          <w:tcPr>
            <w:tcW w:w="243.70pt" w:type="dxa"/>
          </w:tcPr>
          <w:p w14:paraId="33B71A39"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0.9498682 </w:t>
            </w:r>
          </w:p>
        </w:tc>
      </w:tr>
      <w:tr w:rsidR="003B046D" w:rsidRPr="00844368" w14:paraId="172973FD" w14:textId="77777777" w:rsidTr="00E86CFE">
        <w:trPr>
          <w:trHeight w:val="253"/>
        </w:trPr>
        <w:tc>
          <w:tcPr>
            <w:tcW w:w="139.50pt" w:type="dxa"/>
          </w:tcPr>
          <w:p w14:paraId="4B788444"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Adjusted R-Squared    </w:t>
            </w:r>
          </w:p>
        </w:tc>
        <w:tc>
          <w:tcPr>
            <w:tcW w:w="243.70pt" w:type="dxa"/>
          </w:tcPr>
          <w:p w14:paraId="69770C8D"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0.9140597</w:t>
            </w:r>
          </w:p>
        </w:tc>
      </w:tr>
      <w:tr w:rsidR="003B046D" w:rsidRPr="00844368" w14:paraId="11415D2F" w14:textId="77777777" w:rsidTr="00A8753A">
        <w:trPr>
          <w:trHeight w:val="282"/>
        </w:trPr>
        <w:tc>
          <w:tcPr>
            <w:tcW w:w="139.50pt" w:type="dxa"/>
          </w:tcPr>
          <w:p w14:paraId="2C536091"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 xml:space="preserve">S.E. of Regression        </w:t>
            </w:r>
          </w:p>
        </w:tc>
        <w:tc>
          <w:tcPr>
            <w:tcW w:w="243.70pt" w:type="dxa"/>
          </w:tcPr>
          <w:p w14:paraId="15AC623C" w14:textId="77777777" w:rsidR="003B046D" w:rsidRPr="00844368" w:rsidRDefault="003B046D" w:rsidP="00A8753A">
            <w:pPr>
              <w:jc w:val="both"/>
              <w:rPr>
                <w:rFonts w:ascii="Times New Roman" w:hAnsi="Times New Roman" w:cs="Times New Roman"/>
                <w:sz w:val="20"/>
                <w:szCs w:val="20"/>
              </w:rPr>
            </w:pPr>
            <w:r w:rsidRPr="00844368">
              <w:rPr>
                <w:rFonts w:ascii="Times New Roman" w:hAnsi="Times New Roman" w:cs="Times New Roman"/>
                <w:sz w:val="20"/>
                <w:szCs w:val="20"/>
              </w:rPr>
              <w:t>8.4915755</w:t>
            </w:r>
          </w:p>
        </w:tc>
      </w:tr>
    </w:tbl>
    <w:p w14:paraId="13A08F32" w14:textId="77777777" w:rsidR="003B046D" w:rsidRPr="00844368" w:rsidRDefault="003B046D" w:rsidP="00A8753A">
      <w:pPr>
        <w:pStyle w:val="NormalWeb"/>
        <w:jc w:val="both"/>
        <w:rPr>
          <w:sz w:val="20"/>
          <w:szCs w:val="20"/>
        </w:rPr>
      </w:pPr>
    </w:p>
    <w:p w14:paraId="11A230B5" w14:textId="7EB4EB88" w:rsidR="003B046D" w:rsidRPr="00844368" w:rsidRDefault="003B046D" w:rsidP="00A8753A">
      <w:pPr>
        <w:pStyle w:val="NormalWeb"/>
        <w:jc w:val="both"/>
        <w:rPr>
          <w:sz w:val="20"/>
          <w:szCs w:val="20"/>
        </w:rPr>
      </w:pPr>
      <w:r w:rsidRPr="00844368">
        <w:rPr>
          <w:sz w:val="20"/>
          <w:szCs w:val="20"/>
        </w:rPr>
        <w:t>Prior Brazilian GDP = 531.65 + 0.45(inflation) - 0.009(tourism) - 45.35(unemployment) + 89.72(stadium) - 51.98(other)</w:t>
      </w:r>
      <w:r w:rsidR="002E4D87">
        <w:rPr>
          <w:sz w:val="20"/>
          <w:szCs w:val="20"/>
        </w:rPr>
        <w:t xml:space="preserve">                                                                   (iii)                             </w:t>
      </w:r>
    </w:p>
    <w:p w14:paraId="1633446E" w14:textId="0D1DBAB4" w:rsidR="003B046D" w:rsidRDefault="003B046D" w:rsidP="00A8753A">
      <w:pPr>
        <w:pStyle w:val="NormalWeb"/>
        <w:jc w:val="both"/>
        <w:rPr>
          <w:sz w:val="20"/>
          <w:szCs w:val="20"/>
        </w:rPr>
      </w:pPr>
      <w:r w:rsidRPr="00844368">
        <w:rPr>
          <w:noProof/>
          <w:sz w:val="20"/>
          <w:szCs w:val="20"/>
        </w:rPr>
        <w:drawing>
          <wp:inline distT="0" distB="0" distL="0" distR="0" wp14:anchorId="12EEF27E" wp14:editId="1CAAB52A">
            <wp:extent cx="3377924" cy="1990977"/>
            <wp:effectExtent l="0" t="0" r="0" b="952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399991" cy="2003984"/>
                    </a:xfrm>
                    <a:prstGeom prst="rect">
                      <a:avLst/>
                    </a:prstGeom>
                  </pic:spPr>
                </pic:pic>
              </a:graphicData>
            </a:graphic>
          </wp:inline>
        </w:drawing>
      </w:r>
    </w:p>
    <w:p w14:paraId="5FDA070D" w14:textId="64649561" w:rsidR="002E4D87" w:rsidRDefault="002E4D87" w:rsidP="00A8753A">
      <w:pPr>
        <w:pStyle w:val="figurecaption"/>
      </w:pPr>
      <w:r>
        <w:t>Impact of Variables on Brazil’s GDP Prior to the 2014 World Cup</w:t>
      </w:r>
    </w:p>
    <w:p w14:paraId="489038A6" w14:textId="77777777" w:rsidR="002E4D87" w:rsidRPr="00844368" w:rsidRDefault="002E4D87" w:rsidP="00A8753A">
      <w:pPr>
        <w:pStyle w:val="NormalWeb"/>
        <w:jc w:val="both"/>
        <w:rPr>
          <w:sz w:val="20"/>
          <w:szCs w:val="20"/>
        </w:rPr>
      </w:pPr>
    </w:p>
    <w:p w14:paraId="47D4FE09" w14:textId="5BFD2050" w:rsidR="003B046D" w:rsidRDefault="003B046D" w:rsidP="00A8753A">
      <w:pPr>
        <w:pStyle w:val="NormalWeb"/>
        <w:jc w:val="both"/>
        <w:rPr>
          <w:sz w:val="20"/>
          <w:szCs w:val="20"/>
        </w:rPr>
      </w:pPr>
      <w:r w:rsidRPr="00844368">
        <w:rPr>
          <w:noProof/>
          <w:sz w:val="20"/>
          <w:szCs w:val="20"/>
        </w:rPr>
        <w:drawing>
          <wp:inline distT="0" distB="0" distL="0" distR="0" wp14:anchorId="7B0D3F3F" wp14:editId="2042F5FC">
            <wp:extent cx="3355451" cy="1597660"/>
            <wp:effectExtent l="0" t="0" r="0" b="2540"/>
            <wp:docPr id="4" name="Picture 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computer&#10;&#10;Description automatically generated"/>
                    <pic:cNvPicPr/>
                  </pic:nvPicPr>
                  <pic:blipFill rotWithShape="1">
                    <a:blip r:embed="rId20"/>
                    <a:srcRect l="3.469%" t="4.584%" r="1.49%" b="2.194%"/>
                    <a:stretch/>
                  </pic:blipFill>
                  <pic:spPr bwMode="auto">
                    <a:xfrm>
                      <a:off x="0" y="0"/>
                      <a:ext cx="3383513" cy="1611021"/>
                    </a:xfrm>
                    <a:prstGeom prst="rect">
                      <a:avLst/>
                    </a:prstGeom>
                    <a:ln>
                      <a:noFill/>
                    </a:ln>
                    <a:extLst>
                      <a:ext uri="{53640926-AAD7-44D8-BBD7-CCE9431645EC}">
                        <a14:shadowObscured xmlns:a14="http://schemas.microsoft.com/office/drawing/2010/main"/>
                      </a:ext>
                    </a:extLst>
                  </pic:spPr>
                </pic:pic>
              </a:graphicData>
            </a:graphic>
          </wp:inline>
        </w:drawing>
      </w:r>
    </w:p>
    <w:p w14:paraId="3419A6FF" w14:textId="687D8332" w:rsidR="003B046D" w:rsidRPr="002E4D87" w:rsidRDefault="002E4D87" w:rsidP="00A8753A">
      <w:pPr>
        <w:pStyle w:val="figurecaption"/>
      </w:pPr>
      <w:r>
        <w:t>Correlation Matrix: Pre-2014 (Brazil)</w:t>
      </w:r>
    </w:p>
    <w:p w14:paraId="572864C5" w14:textId="77777777" w:rsidR="003B046D" w:rsidRPr="00844368" w:rsidRDefault="003B046D" w:rsidP="00A8753A">
      <w:pPr>
        <w:pStyle w:val="Heading3"/>
      </w:pPr>
      <w:r w:rsidRPr="00844368">
        <w:t>Regression Analysis for Brazil: Economic Impact Leading Up to the 2014 FIFA World Cup</w:t>
      </w:r>
    </w:p>
    <w:p w14:paraId="43AEB521" w14:textId="77777777" w:rsidR="003B046D" w:rsidRPr="00844368" w:rsidRDefault="003B046D" w:rsidP="00A8753A">
      <w:pPr>
        <w:jc w:val="both"/>
      </w:pPr>
      <w:r w:rsidRPr="00844368">
        <w:t xml:space="preserve">The regression output for the years preceding Brazil’s 2014 FIFA World Cup presents a compelling narrative of economic challenges and inefficiencies. With an </w:t>
      </w:r>
      <w:r w:rsidRPr="00844368">
        <w:rPr>
          <w:rStyle w:val="Strong"/>
          <w:rFonts w:eastAsiaTheme="majorEastAsia"/>
        </w:rPr>
        <w:t>Adjusted R-Squared</w:t>
      </w:r>
      <w:r w:rsidRPr="00844368">
        <w:t xml:space="preserve"> of </w:t>
      </w:r>
      <w:r w:rsidRPr="00844368">
        <w:rPr>
          <w:rStyle w:val="Strong"/>
          <w:rFonts w:eastAsiaTheme="majorEastAsia"/>
        </w:rPr>
        <w:t>0.91406</w:t>
      </w:r>
      <w:r w:rsidRPr="00844368">
        <w:t>, the model demonstrates an excellent goodness of fit, explaining over 91% of the variation in Brazil’s GDP. However, the analysis also highlights critical issues, including multicollinearity and the detrimental effects of misallocated resources.</w:t>
      </w:r>
    </w:p>
    <w:p w14:paraId="20678B7B" w14:textId="77777777" w:rsidR="003B046D" w:rsidRPr="00844368" w:rsidRDefault="003B046D" w:rsidP="00A8753A">
      <w:pPr>
        <w:pStyle w:val="Heading5"/>
        <w:jc w:val="both"/>
      </w:pPr>
      <w:r w:rsidRPr="00844368">
        <w:rPr>
          <w:rStyle w:val="Strong"/>
        </w:rPr>
        <w:t>Key Findings from the Regression Analysis</w:t>
      </w:r>
    </w:p>
    <w:p w14:paraId="3F5EB504" w14:textId="77777777" w:rsidR="003B046D" w:rsidRPr="00844368" w:rsidRDefault="003B046D" w:rsidP="00A8753A">
      <w:pPr>
        <w:pStyle w:val="Heading4"/>
      </w:pPr>
      <w:r w:rsidRPr="00844368">
        <w:rPr>
          <w:rStyle w:val="Strong"/>
          <w:rFonts w:eastAsiaTheme="majorEastAsia"/>
        </w:rPr>
        <w:t>Significant Variables</w:t>
      </w:r>
      <w:r w:rsidRPr="00844368">
        <w:t>:</w:t>
      </w:r>
    </w:p>
    <w:p w14:paraId="2F53314C" w14:textId="77777777" w:rsidR="003B046D" w:rsidRPr="00844368" w:rsidRDefault="003B046D" w:rsidP="00E644A9">
      <w:pPr>
        <w:pStyle w:val="ListParagraph"/>
        <w:numPr>
          <w:ilvl w:val="0"/>
          <w:numId w:val="38"/>
        </w:numPr>
      </w:pPr>
      <w:r w:rsidRPr="00844368">
        <w:rPr>
          <w:rStyle w:val="Strong"/>
        </w:rPr>
        <w:lastRenderedPageBreak/>
        <w:t>Unemployment</w:t>
      </w:r>
      <w:r w:rsidRPr="00844368">
        <w:t xml:space="preserve"> and </w:t>
      </w:r>
      <w:r w:rsidRPr="00844368">
        <w:rPr>
          <w:rStyle w:val="Strong"/>
        </w:rPr>
        <w:t>Investment in Stadiums</w:t>
      </w:r>
      <w:r w:rsidRPr="00844368">
        <w:t xml:space="preserve"> emerged as the only statistically significant variables at the 95% confidence level.</w:t>
      </w:r>
    </w:p>
    <w:p w14:paraId="2596F818" w14:textId="77777777" w:rsidR="003B046D" w:rsidRPr="00844368" w:rsidRDefault="003B046D" w:rsidP="00E644A9">
      <w:pPr>
        <w:pStyle w:val="ListParagraph"/>
        <w:numPr>
          <w:ilvl w:val="0"/>
          <w:numId w:val="38"/>
        </w:numPr>
      </w:pPr>
      <w:r w:rsidRPr="00844368">
        <w:t xml:space="preserve">This pattern is indicative of </w:t>
      </w:r>
      <w:r w:rsidRPr="00844368">
        <w:rPr>
          <w:rStyle w:val="Strong"/>
        </w:rPr>
        <w:t>multicollinearity</w:t>
      </w:r>
      <w:r w:rsidRPr="00844368">
        <w:t>, where high correlations between independent variables inflate standard errors, rendering most predictors statistically insignificant despite a high Adjusted R-Squared.</w:t>
      </w:r>
    </w:p>
    <w:p w14:paraId="2BB86F23" w14:textId="77777777" w:rsidR="003B046D" w:rsidRPr="00844368" w:rsidRDefault="003B046D" w:rsidP="00A8753A">
      <w:pPr>
        <w:pStyle w:val="Heading4"/>
      </w:pPr>
      <w:r w:rsidRPr="00844368">
        <w:rPr>
          <w:rStyle w:val="Strong"/>
          <w:rFonts w:eastAsiaTheme="majorEastAsia"/>
        </w:rPr>
        <w:t>Negative Impact of Infrastructure Investments</w:t>
      </w:r>
      <w:r w:rsidRPr="00844368">
        <w:t>:</w:t>
      </w:r>
    </w:p>
    <w:p w14:paraId="5D8C50F4" w14:textId="77777777" w:rsidR="003B046D" w:rsidRPr="00844368" w:rsidRDefault="003B046D" w:rsidP="00E644A9">
      <w:pPr>
        <w:pStyle w:val="ListParagraph"/>
        <w:numPr>
          <w:ilvl w:val="0"/>
          <w:numId w:val="39"/>
        </w:numPr>
      </w:pPr>
      <w:r w:rsidRPr="00844368">
        <w:t xml:space="preserve">For every $1 billion spent on general infrastructure projects outside of stadium construction, Brazil’s GDP decreased by nearly </w:t>
      </w:r>
      <w:r w:rsidRPr="00844368">
        <w:rPr>
          <w:rStyle w:val="Strong"/>
        </w:rPr>
        <w:t>$52 billion per quarter</w:t>
      </w:r>
      <w:r w:rsidRPr="00844368">
        <w:t>.</w:t>
      </w:r>
    </w:p>
    <w:p w14:paraId="6B0A862B" w14:textId="77777777" w:rsidR="003B046D" w:rsidRPr="00844368" w:rsidRDefault="003B046D" w:rsidP="00E644A9">
      <w:pPr>
        <w:pStyle w:val="ListParagraph"/>
        <w:numPr>
          <w:ilvl w:val="0"/>
          <w:numId w:val="39"/>
        </w:numPr>
      </w:pPr>
      <w:r w:rsidRPr="00844368">
        <w:t>The regression findings underscore inefficiencies in resource allocation, with investments failing to yield the expected economic returns.</w:t>
      </w:r>
    </w:p>
    <w:p w14:paraId="0DC9FE2F" w14:textId="77777777" w:rsidR="003B046D" w:rsidRPr="00844368" w:rsidRDefault="003B046D" w:rsidP="00A8753A">
      <w:pPr>
        <w:pStyle w:val="Heading5"/>
        <w:jc w:val="both"/>
      </w:pPr>
      <w:r w:rsidRPr="00844368">
        <w:rPr>
          <w:rStyle w:val="Strong"/>
        </w:rPr>
        <w:t>Contextual Challenges</w:t>
      </w:r>
    </w:p>
    <w:p w14:paraId="19290D8B" w14:textId="77777777" w:rsidR="003B046D" w:rsidRPr="00844368" w:rsidRDefault="003B046D" w:rsidP="00A8753A">
      <w:pPr>
        <w:pStyle w:val="Heading4"/>
      </w:pPr>
      <w:r w:rsidRPr="00844368">
        <w:rPr>
          <w:rStyle w:val="Strong"/>
          <w:rFonts w:eastAsiaTheme="majorEastAsia"/>
        </w:rPr>
        <w:t>Global Financial Crisis</w:t>
      </w:r>
      <w:r w:rsidRPr="00844368">
        <w:t>:</w:t>
      </w:r>
    </w:p>
    <w:p w14:paraId="56F95760" w14:textId="77777777" w:rsidR="003B046D" w:rsidRPr="00844368" w:rsidRDefault="003B046D" w:rsidP="00E644A9">
      <w:pPr>
        <w:pStyle w:val="ListParagraph"/>
        <w:numPr>
          <w:ilvl w:val="0"/>
          <w:numId w:val="40"/>
        </w:numPr>
      </w:pPr>
      <w:r w:rsidRPr="00844368">
        <w:t xml:space="preserve">The financial downturn during Brazil’s World Cup preparations significantly amplified costs. According to Gaffney, the global crisis led to a </w:t>
      </w:r>
      <w:r w:rsidRPr="00844368">
        <w:rPr>
          <w:rStyle w:val="Strong"/>
        </w:rPr>
        <w:t>75% increase</w:t>
      </w:r>
      <w:r w:rsidRPr="00844368">
        <w:t xml:space="preserve"> in expected expenditures, severely straining Brazil’s budget.</w:t>
      </w:r>
    </w:p>
    <w:p w14:paraId="3699DB76" w14:textId="77777777" w:rsidR="003B046D" w:rsidRPr="00844368" w:rsidRDefault="003B046D" w:rsidP="00A8753A">
      <w:pPr>
        <w:pStyle w:val="Heading4"/>
      </w:pPr>
      <w:r w:rsidRPr="00844368">
        <w:rPr>
          <w:rStyle w:val="Strong"/>
          <w:rFonts w:eastAsiaTheme="majorEastAsia"/>
        </w:rPr>
        <w:t>Project Delays and Inefficiencies</w:t>
      </w:r>
      <w:r w:rsidRPr="00844368">
        <w:t>:</w:t>
      </w:r>
    </w:p>
    <w:p w14:paraId="478512B0" w14:textId="77777777" w:rsidR="003B046D" w:rsidRPr="00844368" w:rsidRDefault="003B046D" w:rsidP="00E644A9">
      <w:pPr>
        <w:pStyle w:val="ListParagraph"/>
        <w:numPr>
          <w:ilvl w:val="0"/>
          <w:numId w:val="40"/>
        </w:numPr>
      </w:pPr>
      <w:r w:rsidRPr="00844368">
        <w:t xml:space="preserve">Out of 93 major infrastructure projects planned for the World Cup, only </w:t>
      </w:r>
      <w:r w:rsidRPr="00844368">
        <w:rPr>
          <w:rStyle w:val="Strong"/>
        </w:rPr>
        <w:t>36 were completed on time</w:t>
      </w:r>
      <w:r w:rsidRPr="00844368">
        <w:t>, highlighting significant inefficiencies (Soto).</w:t>
      </w:r>
    </w:p>
    <w:p w14:paraId="572AB517" w14:textId="77777777" w:rsidR="003B046D" w:rsidRPr="00844368" w:rsidRDefault="003B046D" w:rsidP="00E644A9">
      <w:pPr>
        <w:pStyle w:val="ListParagraph"/>
        <w:numPr>
          <w:ilvl w:val="0"/>
          <w:numId w:val="40"/>
        </w:numPr>
      </w:pPr>
      <w:r w:rsidRPr="00844368">
        <w:t>The inability to complete critical projects diluted potential long-term economic benefits and reduced overall effectiveness.</w:t>
      </w:r>
    </w:p>
    <w:p w14:paraId="1C721451" w14:textId="77777777" w:rsidR="003B046D" w:rsidRPr="00844368" w:rsidRDefault="003B046D" w:rsidP="00A8753A">
      <w:pPr>
        <w:pStyle w:val="Heading4"/>
      </w:pPr>
      <w:r w:rsidRPr="00844368">
        <w:rPr>
          <w:rStyle w:val="Strong"/>
          <w:rFonts w:eastAsiaTheme="majorEastAsia"/>
        </w:rPr>
        <w:t>Resource Diversion</w:t>
      </w:r>
      <w:r w:rsidRPr="00844368">
        <w:t>:</w:t>
      </w:r>
    </w:p>
    <w:p w14:paraId="5F821C8C" w14:textId="77777777" w:rsidR="003B046D" w:rsidRPr="00844368" w:rsidRDefault="003B046D" w:rsidP="00E644A9">
      <w:pPr>
        <w:pStyle w:val="ListParagraph"/>
        <w:numPr>
          <w:ilvl w:val="0"/>
          <w:numId w:val="41"/>
        </w:numPr>
      </w:pPr>
      <w:r w:rsidRPr="00844368">
        <w:t>Matheson notes that escalating costs forced Brazil to divert resources away from general infrastructure projects that might have driven greater long-term growth. These missed opportunities further compounded the economic inefficiencies of hosting the World Cup.</w:t>
      </w:r>
    </w:p>
    <w:p w14:paraId="1D8E1EBF" w14:textId="77777777" w:rsidR="003B046D" w:rsidRPr="00A8753A" w:rsidRDefault="003B046D" w:rsidP="00A8753A">
      <w:pPr>
        <w:pStyle w:val="Heading4"/>
      </w:pPr>
      <w:r w:rsidRPr="00A8753A">
        <w:rPr>
          <w:rStyle w:val="Strong"/>
          <w:bCs w:val="0"/>
        </w:rPr>
        <w:t>Comparative Perspective</w:t>
      </w:r>
    </w:p>
    <w:p w14:paraId="703E50D6" w14:textId="77777777" w:rsidR="003B046D" w:rsidRPr="00844368" w:rsidRDefault="003B046D" w:rsidP="00E644A9">
      <w:pPr>
        <w:pStyle w:val="ListParagraph"/>
        <w:numPr>
          <w:ilvl w:val="0"/>
          <w:numId w:val="41"/>
        </w:numPr>
      </w:pPr>
      <w:r w:rsidRPr="00844368">
        <w:t xml:space="preserve">Brazil’s experience contrasts sharply with Germany’s, where efficient planning and a stable economic environment optimized resource </w:t>
      </w:r>
      <w:r w:rsidRPr="00844368">
        <w:t>allocation. Brazil, by comparison, struggled to balance infrastructure spending with the demands of a global financial crisis, resulting in an imbalance between short-term expenditures and long-term growth prospects.</w:t>
      </w:r>
    </w:p>
    <w:p w14:paraId="21B01E93" w14:textId="77777777" w:rsidR="003B046D" w:rsidRPr="00A8753A" w:rsidRDefault="003B046D" w:rsidP="00A8753A">
      <w:pPr>
        <w:pStyle w:val="Heading4"/>
        <w:rPr>
          <w:b/>
        </w:rPr>
      </w:pPr>
      <w:r w:rsidRPr="00A8753A">
        <w:rPr>
          <w:b/>
        </w:rPr>
        <w:t>Analysis of Brazil's Economic Impact from Hosting the World Cup</w:t>
      </w:r>
    </w:p>
    <w:p w14:paraId="7C91B88D" w14:textId="77777777" w:rsidR="003B046D" w:rsidRPr="00844368" w:rsidRDefault="003B046D" w:rsidP="00E644A9">
      <w:pPr>
        <w:pStyle w:val="NormalWeb"/>
        <w:numPr>
          <w:ilvl w:val="0"/>
          <w:numId w:val="41"/>
        </w:numPr>
        <w:jc w:val="both"/>
        <w:rPr>
          <w:sz w:val="20"/>
          <w:szCs w:val="20"/>
        </w:rPr>
      </w:pPr>
      <w:r w:rsidRPr="00844368">
        <w:rPr>
          <w:sz w:val="20"/>
          <w:szCs w:val="20"/>
        </w:rPr>
        <w:t xml:space="preserve">An evaluation of the regression output reveals that the overall goodness of fit (R-squared) is robust for the period post-2014, with an Adjusted R-squared value of </w:t>
      </w:r>
      <w:r w:rsidRPr="00844368">
        <w:rPr>
          <w:rStyle w:val="Strong"/>
          <w:rFonts w:eastAsiaTheme="majorEastAsia"/>
          <w:sz w:val="20"/>
          <w:szCs w:val="20"/>
        </w:rPr>
        <w:t>0.84436</w:t>
      </w:r>
      <w:r w:rsidRPr="00844368">
        <w:rPr>
          <w:sz w:val="20"/>
          <w:szCs w:val="20"/>
        </w:rPr>
        <w:t xml:space="preserve">. This suggests a strong explanatory power for the model in capturing the economic trends of Brazil during this period. Among the variables analysed, </w:t>
      </w:r>
      <w:r w:rsidRPr="00844368">
        <w:rPr>
          <w:rStyle w:val="Strong"/>
          <w:rFonts w:eastAsiaTheme="majorEastAsia"/>
          <w:sz w:val="20"/>
          <w:szCs w:val="20"/>
        </w:rPr>
        <w:t>Unemployment</w:t>
      </w:r>
      <w:r w:rsidRPr="00844368">
        <w:rPr>
          <w:sz w:val="20"/>
          <w:szCs w:val="20"/>
        </w:rPr>
        <w:t xml:space="preserve"> emerged as the only statistically significant predictor. However, its coefficient presents a counterintuitive result, implying that Brazil’s GDP increases with rising unemployment rates—a finding likely influenced by the high correlation between unemployment and inflation.</w:t>
      </w:r>
    </w:p>
    <w:p w14:paraId="7D62008A" w14:textId="34F7CC51" w:rsidR="003B046D" w:rsidRDefault="003B046D" w:rsidP="003B046D">
      <w:pPr>
        <w:pStyle w:val="NormalWeb"/>
        <w:rPr>
          <w:sz w:val="20"/>
          <w:szCs w:val="20"/>
        </w:rPr>
      </w:pPr>
      <w:r w:rsidRPr="00844368">
        <w:rPr>
          <w:noProof/>
          <w:sz w:val="20"/>
          <w:szCs w:val="20"/>
        </w:rPr>
        <w:drawing>
          <wp:inline distT="0" distB="0" distL="0" distR="0" wp14:anchorId="29CD6BCC" wp14:editId="17347161">
            <wp:extent cx="3220688" cy="1598212"/>
            <wp:effectExtent l="0" t="0" r="0" b="254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288758" cy="1631991"/>
                    </a:xfrm>
                    <a:prstGeom prst="rect">
                      <a:avLst/>
                    </a:prstGeom>
                  </pic:spPr>
                </pic:pic>
              </a:graphicData>
            </a:graphic>
          </wp:inline>
        </w:drawing>
      </w:r>
    </w:p>
    <w:p w14:paraId="0D4464F7" w14:textId="753900CB" w:rsidR="00A8753A" w:rsidRDefault="00A8753A" w:rsidP="00E644A9">
      <w:pPr>
        <w:pStyle w:val="figurecaption"/>
        <w:numPr>
          <w:ilvl w:val="0"/>
          <w:numId w:val="36"/>
        </w:numPr>
        <w:jc w:val="center"/>
      </w:pPr>
      <w:r>
        <w:t>Brazil GDP Before and After Hosting the 2014 FIFA World Cup</w:t>
      </w:r>
    </w:p>
    <w:p w14:paraId="21661CB7" w14:textId="77777777" w:rsidR="00A8753A" w:rsidRPr="00844368" w:rsidRDefault="00A8753A" w:rsidP="003B046D">
      <w:pPr>
        <w:pStyle w:val="NormalWeb"/>
        <w:rPr>
          <w:sz w:val="20"/>
          <w:szCs w:val="20"/>
        </w:rPr>
      </w:pPr>
    </w:p>
    <w:p w14:paraId="33BBB022" w14:textId="67D88698" w:rsidR="003B046D" w:rsidRDefault="00A04C66" w:rsidP="003B046D">
      <w:pPr>
        <w:pStyle w:val="NormalWeb"/>
        <w:rPr>
          <w:sz w:val="20"/>
          <w:szCs w:val="20"/>
        </w:rPr>
      </w:pPr>
      <w:r w:rsidRPr="00A04C66">
        <w:rPr>
          <w:noProof/>
          <w:sz w:val="20"/>
          <w:szCs w:val="20"/>
        </w:rPr>
        <w:drawing>
          <wp:inline distT="0" distB="0" distL="0" distR="0" wp14:anchorId="78B07412" wp14:editId="33D37B3B">
            <wp:extent cx="3089910" cy="1918970"/>
            <wp:effectExtent l="0" t="0" r="0" b="508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1918970"/>
                    </a:xfrm>
                    <a:prstGeom prst="rect">
                      <a:avLst/>
                    </a:prstGeom>
                  </pic:spPr>
                </pic:pic>
              </a:graphicData>
            </a:graphic>
          </wp:inline>
        </w:drawing>
      </w:r>
    </w:p>
    <w:p w14:paraId="360D0E65" w14:textId="33181E5E" w:rsidR="00A8753A" w:rsidRDefault="00A8753A" w:rsidP="003B046D">
      <w:pPr>
        <w:pStyle w:val="figurecaption"/>
        <w:jc w:val="center"/>
      </w:pPr>
      <w:r>
        <w:t>Unemployment Rate Before and After Hosting the FIFA World Cup</w:t>
      </w:r>
    </w:p>
    <w:p w14:paraId="3F51BC96" w14:textId="77777777" w:rsidR="00A8753A" w:rsidRPr="00A8753A" w:rsidRDefault="00A8753A" w:rsidP="00A8753A">
      <w:pPr>
        <w:pStyle w:val="figurecaption"/>
        <w:numPr>
          <w:ilvl w:val="0"/>
          <w:numId w:val="0"/>
        </w:numPr>
      </w:pPr>
    </w:p>
    <w:p w14:paraId="4260E7E3" w14:textId="4B304E8F" w:rsidR="003B046D" w:rsidRDefault="003B046D" w:rsidP="003B046D">
      <w:pPr>
        <w:pStyle w:val="NormalWeb"/>
        <w:rPr>
          <w:sz w:val="20"/>
          <w:szCs w:val="20"/>
        </w:rPr>
      </w:pPr>
      <w:r w:rsidRPr="00844368">
        <w:rPr>
          <w:noProof/>
          <w:sz w:val="20"/>
          <w:szCs w:val="20"/>
        </w:rPr>
        <w:drawing>
          <wp:inline distT="0" distB="0" distL="0" distR="0" wp14:anchorId="1BAD677E" wp14:editId="64C93A3E">
            <wp:extent cx="3172618" cy="1574358"/>
            <wp:effectExtent l="0" t="0" r="8890" b="698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232881" cy="1604263"/>
                    </a:xfrm>
                    <a:prstGeom prst="rect">
                      <a:avLst/>
                    </a:prstGeom>
                  </pic:spPr>
                </pic:pic>
              </a:graphicData>
            </a:graphic>
          </wp:inline>
        </w:drawing>
      </w:r>
    </w:p>
    <w:p w14:paraId="1742B252" w14:textId="0A2D30E6" w:rsidR="00A8753A" w:rsidRPr="00A8753A" w:rsidRDefault="00A8753A" w:rsidP="003B046D">
      <w:pPr>
        <w:pStyle w:val="figurecaption"/>
        <w:jc w:val="center"/>
      </w:pPr>
      <w:r>
        <w:t>Infrastructure Investments Before and After FIFA World Cup</w:t>
      </w:r>
    </w:p>
    <w:p w14:paraId="1AACB9A5" w14:textId="77C17F57" w:rsidR="003B046D" w:rsidRPr="00A8753A" w:rsidRDefault="003B046D" w:rsidP="00A8753A">
      <w:pPr>
        <w:pStyle w:val="Heading4"/>
        <w:rPr>
          <w:b/>
        </w:rPr>
      </w:pPr>
      <w:r w:rsidRPr="00A8753A">
        <w:rPr>
          <w:b/>
        </w:rPr>
        <w:t>Key Regression Insights</w:t>
      </w:r>
    </w:p>
    <w:p w14:paraId="553F2DB5" w14:textId="77777777" w:rsidR="00A8753A" w:rsidRPr="00A8753A" w:rsidRDefault="00A8753A" w:rsidP="00A8753A"/>
    <w:p w14:paraId="6F5AC209" w14:textId="1D21CF8D" w:rsidR="003B046D" w:rsidRPr="0097120D" w:rsidRDefault="00A8753A" w:rsidP="0097120D">
      <w:pPr>
        <w:pStyle w:val="tablehead"/>
        <w:jc w:val="both"/>
      </w:pPr>
      <w:r>
        <w:t xml:space="preserve">Brazil </w:t>
      </w:r>
      <w:r w:rsidR="0097120D">
        <w:t>post</w:t>
      </w:r>
      <w:r>
        <w:t xml:space="preserve"> to the 2014 World Cup</w:t>
      </w:r>
    </w:p>
    <w:p w14:paraId="07D2BDF9" w14:textId="77777777" w:rsidR="003B046D" w:rsidRPr="00844368" w:rsidRDefault="003B046D" w:rsidP="003B046D">
      <w:pPr>
        <w:rPr>
          <w:i/>
          <w:u w:val="single"/>
        </w:rPr>
      </w:pPr>
    </w:p>
    <w:tbl>
      <w:tblPr>
        <w:tblStyle w:val="TableGrid"/>
        <w:tblW w:w="0pt" w:type="dxa"/>
        <w:tblBorders>
          <w:start w:val="none" w:sz="0" w:space="0" w:color="auto"/>
          <w:end w:val="none" w:sz="0" w:space="0" w:color="auto"/>
          <w:insideV w:val="none" w:sz="0" w:space="0" w:color="auto"/>
        </w:tblBorders>
        <w:tblLook w:firstRow="1" w:lastRow="0" w:firstColumn="1" w:lastColumn="0" w:noHBand="0" w:noVBand="1"/>
      </w:tblPr>
      <w:tblGrid>
        <w:gridCol w:w="1230"/>
        <w:gridCol w:w="909"/>
        <w:gridCol w:w="909"/>
        <w:gridCol w:w="909"/>
        <w:gridCol w:w="909"/>
      </w:tblGrid>
      <w:tr w:rsidR="003B046D" w:rsidRPr="00844368" w14:paraId="046DE047" w14:textId="77777777" w:rsidTr="00A8753A">
        <w:tc>
          <w:tcPr>
            <w:tcW w:w="138.70pt" w:type="dxa"/>
            <w:tcBorders>
              <w:top w:val="single" w:sz="4" w:space="0" w:color="auto"/>
              <w:bottom w:val="single" w:sz="4" w:space="0" w:color="auto"/>
            </w:tcBorders>
          </w:tcPr>
          <w:p w14:paraId="3ACE9FBF" w14:textId="77777777" w:rsidR="003B046D" w:rsidRPr="00844368" w:rsidRDefault="003B046D" w:rsidP="00E86CFE">
            <w:pPr>
              <w:rPr>
                <w:rFonts w:ascii="Times New Roman" w:hAnsi="Times New Roman" w:cs="Times New Roman"/>
                <w:i/>
                <w:sz w:val="20"/>
                <w:szCs w:val="20"/>
              </w:rPr>
            </w:pPr>
            <w:r w:rsidRPr="00844368">
              <w:rPr>
                <w:rFonts w:ascii="Times New Roman" w:hAnsi="Times New Roman" w:cs="Times New Roman"/>
                <w:i/>
                <w:sz w:val="20"/>
                <w:szCs w:val="20"/>
              </w:rPr>
              <w:t>Variable</w:t>
            </w:r>
          </w:p>
        </w:tc>
        <w:tc>
          <w:tcPr>
            <w:tcW w:w="75.05pt" w:type="dxa"/>
            <w:tcBorders>
              <w:top w:val="single" w:sz="4" w:space="0" w:color="auto"/>
              <w:bottom w:val="single" w:sz="4" w:space="0" w:color="auto"/>
            </w:tcBorders>
          </w:tcPr>
          <w:p w14:paraId="23D33542" w14:textId="77777777" w:rsidR="003B046D" w:rsidRPr="00844368" w:rsidRDefault="003B046D" w:rsidP="00E86CFE">
            <w:pPr>
              <w:rPr>
                <w:rFonts w:ascii="Times New Roman" w:hAnsi="Times New Roman" w:cs="Times New Roman"/>
                <w:i/>
                <w:sz w:val="20"/>
                <w:szCs w:val="20"/>
              </w:rPr>
            </w:pPr>
            <w:r w:rsidRPr="00844368">
              <w:rPr>
                <w:rFonts w:ascii="Times New Roman" w:hAnsi="Times New Roman" w:cs="Times New Roman"/>
                <w:i/>
                <w:sz w:val="20"/>
                <w:szCs w:val="20"/>
              </w:rPr>
              <w:t>Co-efficient</w:t>
            </w:r>
          </w:p>
        </w:tc>
        <w:tc>
          <w:tcPr>
            <w:tcW w:w="82pt" w:type="dxa"/>
            <w:tcBorders>
              <w:top w:val="single" w:sz="4" w:space="0" w:color="auto"/>
              <w:bottom w:val="single" w:sz="4" w:space="0" w:color="auto"/>
            </w:tcBorders>
          </w:tcPr>
          <w:p w14:paraId="78AEFAC4" w14:textId="77777777" w:rsidR="003B046D" w:rsidRPr="00844368" w:rsidRDefault="003B046D" w:rsidP="00E86CFE">
            <w:pPr>
              <w:rPr>
                <w:rFonts w:ascii="Times New Roman" w:hAnsi="Times New Roman" w:cs="Times New Roman"/>
                <w:i/>
                <w:sz w:val="20"/>
                <w:szCs w:val="20"/>
              </w:rPr>
            </w:pPr>
            <w:r w:rsidRPr="00844368">
              <w:rPr>
                <w:rFonts w:ascii="Times New Roman" w:hAnsi="Times New Roman" w:cs="Times New Roman"/>
                <w:i/>
                <w:sz w:val="20"/>
                <w:szCs w:val="20"/>
              </w:rPr>
              <w:t xml:space="preserve">Standard </w:t>
            </w:r>
          </w:p>
          <w:p w14:paraId="6BD73094" w14:textId="77777777" w:rsidR="003B046D" w:rsidRPr="00844368" w:rsidRDefault="003B046D" w:rsidP="00E86CFE">
            <w:pPr>
              <w:rPr>
                <w:rFonts w:ascii="Times New Roman" w:hAnsi="Times New Roman" w:cs="Times New Roman"/>
                <w:i/>
                <w:sz w:val="20"/>
                <w:szCs w:val="20"/>
              </w:rPr>
            </w:pPr>
            <w:r w:rsidRPr="00844368">
              <w:rPr>
                <w:rFonts w:ascii="Times New Roman" w:hAnsi="Times New Roman" w:cs="Times New Roman"/>
                <w:i/>
                <w:sz w:val="20"/>
                <w:szCs w:val="20"/>
              </w:rPr>
              <w:t>Error</w:t>
            </w:r>
          </w:p>
        </w:tc>
        <w:tc>
          <w:tcPr>
            <w:tcW w:w="80.05pt" w:type="dxa"/>
            <w:tcBorders>
              <w:top w:val="single" w:sz="4" w:space="0" w:color="auto"/>
              <w:bottom w:val="single" w:sz="4" w:space="0" w:color="auto"/>
            </w:tcBorders>
          </w:tcPr>
          <w:p w14:paraId="396F95E0" w14:textId="77777777" w:rsidR="003B046D" w:rsidRPr="00844368" w:rsidRDefault="003B046D" w:rsidP="00E86CFE">
            <w:pPr>
              <w:rPr>
                <w:rFonts w:ascii="Times New Roman" w:hAnsi="Times New Roman" w:cs="Times New Roman"/>
                <w:i/>
                <w:sz w:val="20"/>
                <w:szCs w:val="20"/>
              </w:rPr>
            </w:pPr>
            <w:r w:rsidRPr="00844368">
              <w:rPr>
                <w:rFonts w:ascii="Times New Roman" w:hAnsi="Times New Roman" w:cs="Times New Roman"/>
                <w:i/>
                <w:sz w:val="20"/>
                <w:szCs w:val="20"/>
              </w:rPr>
              <w:t>t-Stat</w:t>
            </w:r>
          </w:p>
        </w:tc>
        <w:tc>
          <w:tcPr>
            <w:tcW w:w="75.50pt" w:type="dxa"/>
            <w:tcBorders>
              <w:top w:val="single" w:sz="4" w:space="0" w:color="auto"/>
              <w:bottom w:val="single" w:sz="4" w:space="0" w:color="auto"/>
            </w:tcBorders>
          </w:tcPr>
          <w:p w14:paraId="08D592D0" w14:textId="77777777" w:rsidR="003B046D" w:rsidRPr="00844368" w:rsidRDefault="003B046D" w:rsidP="00E86CFE">
            <w:pPr>
              <w:rPr>
                <w:rFonts w:ascii="Times New Roman" w:hAnsi="Times New Roman" w:cs="Times New Roman"/>
                <w:i/>
                <w:sz w:val="20"/>
                <w:szCs w:val="20"/>
              </w:rPr>
            </w:pPr>
            <w:r w:rsidRPr="00844368">
              <w:rPr>
                <w:rFonts w:ascii="Times New Roman" w:hAnsi="Times New Roman" w:cs="Times New Roman"/>
                <w:i/>
                <w:sz w:val="20"/>
                <w:szCs w:val="20"/>
              </w:rPr>
              <w:t>P-value</w:t>
            </w:r>
          </w:p>
        </w:tc>
      </w:tr>
      <w:tr w:rsidR="003B046D" w:rsidRPr="00844368" w14:paraId="319D1827" w14:textId="77777777" w:rsidTr="00A8753A">
        <w:tc>
          <w:tcPr>
            <w:tcW w:w="138.70pt" w:type="dxa"/>
            <w:tcBorders>
              <w:top w:val="single" w:sz="4" w:space="0" w:color="auto"/>
              <w:bottom w:val="nil"/>
            </w:tcBorders>
          </w:tcPr>
          <w:p w14:paraId="0641A571"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Intercept</w:t>
            </w:r>
          </w:p>
        </w:tc>
        <w:tc>
          <w:tcPr>
            <w:tcW w:w="75.05pt" w:type="dxa"/>
            <w:tcBorders>
              <w:top w:val="single" w:sz="4" w:space="0" w:color="auto"/>
              <w:bottom w:val="nil"/>
            </w:tcBorders>
          </w:tcPr>
          <w:p w14:paraId="1F748285"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384.72110 </w:t>
            </w:r>
          </w:p>
        </w:tc>
        <w:tc>
          <w:tcPr>
            <w:tcW w:w="82pt" w:type="dxa"/>
            <w:tcBorders>
              <w:top w:val="single" w:sz="4" w:space="0" w:color="auto"/>
              <w:bottom w:val="nil"/>
            </w:tcBorders>
          </w:tcPr>
          <w:p w14:paraId="53BFF112"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23.215669 </w:t>
            </w:r>
          </w:p>
        </w:tc>
        <w:tc>
          <w:tcPr>
            <w:tcW w:w="80.05pt" w:type="dxa"/>
            <w:tcBorders>
              <w:top w:val="single" w:sz="4" w:space="0" w:color="auto"/>
              <w:bottom w:val="nil"/>
            </w:tcBorders>
          </w:tcPr>
          <w:p w14:paraId="059027B1"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16.571613 </w:t>
            </w:r>
          </w:p>
        </w:tc>
        <w:tc>
          <w:tcPr>
            <w:tcW w:w="75.50pt" w:type="dxa"/>
            <w:tcBorders>
              <w:top w:val="single" w:sz="4" w:space="0" w:color="auto"/>
              <w:bottom w:val="nil"/>
            </w:tcBorders>
          </w:tcPr>
          <w:p w14:paraId="064F7736"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1.337E-08</w:t>
            </w:r>
          </w:p>
        </w:tc>
      </w:tr>
      <w:tr w:rsidR="003B046D" w:rsidRPr="00844368" w14:paraId="48B5A638" w14:textId="77777777" w:rsidTr="00E86CFE">
        <w:tc>
          <w:tcPr>
            <w:tcW w:w="138.70pt" w:type="dxa"/>
            <w:tcBorders>
              <w:top w:val="nil"/>
              <w:bottom w:val="nil"/>
            </w:tcBorders>
          </w:tcPr>
          <w:p w14:paraId="72B45938"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Inflation (%)</w:t>
            </w:r>
          </w:p>
        </w:tc>
        <w:tc>
          <w:tcPr>
            <w:tcW w:w="75.05pt" w:type="dxa"/>
            <w:tcBorders>
              <w:top w:val="nil"/>
              <w:bottom w:val="nil"/>
            </w:tcBorders>
          </w:tcPr>
          <w:p w14:paraId="0BCFBD5F"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-1.937355 </w:t>
            </w:r>
          </w:p>
        </w:tc>
        <w:tc>
          <w:tcPr>
            <w:tcW w:w="82pt" w:type="dxa"/>
            <w:tcBorders>
              <w:top w:val="nil"/>
              <w:bottom w:val="nil"/>
            </w:tcBorders>
          </w:tcPr>
          <w:p w14:paraId="3BA09B16"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1.9629670 </w:t>
            </w:r>
          </w:p>
        </w:tc>
        <w:tc>
          <w:tcPr>
            <w:tcW w:w="80.05pt" w:type="dxa"/>
            <w:tcBorders>
              <w:top w:val="nil"/>
              <w:bottom w:val="nil"/>
            </w:tcBorders>
          </w:tcPr>
          <w:p w14:paraId="1B6A6FF7"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-0.986952 </w:t>
            </w:r>
          </w:p>
        </w:tc>
        <w:tc>
          <w:tcPr>
            <w:tcW w:w="75.50pt" w:type="dxa"/>
            <w:tcBorders>
              <w:top w:val="nil"/>
              <w:bottom w:val="nil"/>
            </w:tcBorders>
          </w:tcPr>
          <w:p w14:paraId="5D560975"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0.3469435</w:t>
            </w:r>
          </w:p>
        </w:tc>
      </w:tr>
      <w:tr w:rsidR="003B046D" w:rsidRPr="00844368" w14:paraId="3EA13DEE" w14:textId="77777777" w:rsidTr="00E86CFE">
        <w:tc>
          <w:tcPr>
            <w:tcW w:w="138.70pt" w:type="dxa"/>
            <w:tcBorders>
              <w:top w:val="nil"/>
              <w:bottom w:val="nil"/>
            </w:tcBorders>
          </w:tcPr>
          <w:p w14:paraId="7BB68E94"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Quarterly Tourism Revenue Growth (%)</w:t>
            </w:r>
          </w:p>
        </w:tc>
        <w:tc>
          <w:tcPr>
            <w:tcW w:w="75.05pt" w:type="dxa"/>
            <w:tcBorders>
              <w:top w:val="nil"/>
              <w:bottom w:val="nil"/>
            </w:tcBorders>
          </w:tcPr>
          <w:p w14:paraId="2588B49C"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-0.062273 </w:t>
            </w:r>
          </w:p>
        </w:tc>
        <w:tc>
          <w:tcPr>
            <w:tcW w:w="82pt" w:type="dxa"/>
            <w:tcBorders>
              <w:top w:val="nil"/>
              <w:bottom w:val="nil"/>
            </w:tcBorders>
          </w:tcPr>
          <w:p w14:paraId="08858D6E"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0.0289008 </w:t>
            </w:r>
          </w:p>
        </w:tc>
        <w:tc>
          <w:tcPr>
            <w:tcW w:w="80.05pt" w:type="dxa"/>
            <w:tcBorders>
              <w:top w:val="nil"/>
              <w:bottom w:val="nil"/>
            </w:tcBorders>
          </w:tcPr>
          <w:p w14:paraId="068F76C0"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-2.154732 </w:t>
            </w:r>
          </w:p>
        </w:tc>
        <w:tc>
          <w:tcPr>
            <w:tcW w:w="75.50pt" w:type="dxa"/>
            <w:tcBorders>
              <w:top w:val="nil"/>
              <w:bottom w:val="nil"/>
            </w:tcBorders>
          </w:tcPr>
          <w:p w14:paraId="48CB69A8"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0.0566105</w:t>
            </w:r>
          </w:p>
        </w:tc>
      </w:tr>
      <w:tr w:rsidR="003B046D" w:rsidRPr="00844368" w14:paraId="1A996640" w14:textId="77777777" w:rsidTr="00A8753A">
        <w:tc>
          <w:tcPr>
            <w:tcW w:w="138.70pt" w:type="dxa"/>
            <w:tcBorders>
              <w:top w:val="nil"/>
              <w:bottom w:val="nil"/>
            </w:tcBorders>
          </w:tcPr>
          <w:p w14:paraId="4AD19C84"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Unemployment (%)</w:t>
            </w:r>
          </w:p>
        </w:tc>
        <w:tc>
          <w:tcPr>
            <w:tcW w:w="75.05pt" w:type="dxa"/>
            <w:tcBorders>
              <w:top w:val="nil"/>
              <w:bottom w:val="nil"/>
            </w:tcBorders>
          </w:tcPr>
          <w:p w14:paraId="666E519D"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4.9244940 </w:t>
            </w:r>
          </w:p>
        </w:tc>
        <w:tc>
          <w:tcPr>
            <w:tcW w:w="82pt" w:type="dxa"/>
            <w:tcBorders>
              <w:top w:val="nil"/>
              <w:bottom w:val="nil"/>
            </w:tcBorders>
          </w:tcPr>
          <w:p w14:paraId="313DCFD3"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1.7660948 </w:t>
            </w:r>
          </w:p>
        </w:tc>
        <w:tc>
          <w:tcPr>
            <w:tcW w:w="80.05pt" w:type="dxa"/>
            <w:tcBorders>
              <w:top w:val="nil"/>
              <w:bottom w:val="nil"/>
              <w:end w:val="nil"/>
            </w:tcBorders>
          </w:tcPr>
          <w:p w14:paraId="2B5A98B0"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2.7883519 </w:t>
            </w:r>
          </w:p>
        </w:tc>
        <w:tc>
          <w:tcPr>
            <w:tcW w:w="75.50pt" w:type="dxa"/>
            <w:tcBorders>
              <w:top w:val="nil"/>
              <w:start w:val="nil"/>
              <w:bottom w:val="nil"/>
            </w:tcBorders>
          </w:tcPr>
          <w:p w14:paraId="4DA052E8"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0.0191739</w:t>
            </w:r>
          </w:p>
        </w:tc>
      </w:tr>
      <w:tr w:rsidR="003B046D" w:rsidRPr="00844368" w14:paraId="1EC2094E" w14:textId="77777777" w:rsidTr="00A8753A">
        <w:tc>
          <w:tcPr>
            <w:tcW w:w="138.70pt" w:type="dxa"/>
            <w:tcBorders>
              <w:top w:val="nil"/>
              <w:bottom w:val="single" w:sz="4" w:space="0" w:color="auto"/>
            </w:tcBorders>
          </w:tcPr>
          <w:p w14:paraId="09F4622C"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Investment in Infrastructure (billions)</w:t>
            </w:r>
          </w:p>
        </w:tc>
        <w:tc>
          <w:tcPr>
            <w:tcW w:w="75.05pt" w:type="dxa"/>
            <w:tcBorders>
              <w:top w:val="nil"/>
              <w:bottom w:val="single" w:sz="4" w:space="0" w:color="auto"/>
            </w:tcBorders>
          </w:tcPr>
          <w:p w14:paraId="7F66D8F2"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-24.411032 </w:t>
            </w:r>
          </w:p>
        </w:tc>
        <w:tc>
          <w:tcPr>
            <w:tcW w:w="82pt" w:type="dxa"/>
            <w:tcBorders>
              <w:top w:val="nil"/>
              <w:bottom w:val="single" w:sz="4" w:space="0" w:color="auto"/>
            </w:tcBorders>
          </w:tcPr>
          <w:p w14:paraId="279DA723"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67.036044 </w:t>
            </w:r>
          </w:p>
        </w:tc>
        <w:tc>
          <w:tcPr>
            <w:tcW w:w="80.05pt" w:type="dxa"/>
            <w:tcBorders>
              <w:top w:val="nil"/>
              <w:bottom w:val="single" w:sz="4" w:space="0" w:color="auto"/>
              <w:end w:val="nil"/>
            </w:tcBorders>
          </w:tcPr>
          <w:p w14:paraId="6621C0DB"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-0.364147 </w:t>
            </w:r>
          </w:p>
        </w:tc>
        <w:tc>
          <w:tcPr>
            <w:tcW w:w="75.50pt" w:type="dxa"/>
            <w:tcBorders>
              <w:top w:val="nil"/>
              <w:start w:val="nil"/>
              <w:bottom w:val="single" w:sz="4" w:space="0" w:color="auto"/>
            </w:tcBorders>
          </w:tcPr>
          <w:p w14:paraId="37F074EA"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0.7233293</w:t>
            </w:r>
          </w:p>
        </w:tc>
      </w:tr>
    </w:tbl>
    <w:p w14:paraId="14EBB614" w14:textId="77777777" w:rsidR="003B046D" w:rsidRPr="00844368" w:rsidRDefault="003B046D" w:rsidP="003B046D"/>
    <w:tbl>
      <w:tblPr>
        <w:tblStyle w:val="TableGrid"/>
        <w:tblW w:w="0pt" w:type="dxa"/>
        <w:tblBorders>
          <w:top w:val="none" w:sz="0" w:space="0" w:color="auto"/>
          <w:start w:val="none" w:sz="0" w:space="0" w:color="auto"/>
          <w:end w:val="none" w:sz="0" w:space="0" w:color="auto"/>
          <w:insideH w:val="none" w:sz="0" w:space="0" w:color="auto"/>
          <w:insideV w:val="none" w:sz="0" w:space="0" w:color="auto"/>
        </w:tblBorders>
        <w:tblLook w:firstRow="1" w:lastRow="0" w:firstColumn="1" w:lastColumn="0" w:noHBand="0" w:noVBand="1"/>
      </w:tblPr>
      <w:tblGrid>
        <w:gridCol w:w="1947"/>
        <w:gridCol w:w="2919"/>
      </w:tblGrid>
      <w:tr w:rsidR="003B046D" w:rsidRPr="00844368" w14:paraId="05DD7B8E" w14:textId="77777777" w:rsidTr="00E86CFE">
        <w:trPr>
          <w:trHeight w:val="253"/>
        </w:trPr>
        <w:tc>
          <w:tcPr>
            <w:tcW w:w="139.50pt" w:type="dxa"/>
          </w:tcPr>
          <w:p w14:paraId="31B4CE58"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R-Squared                     </w:t>
            </w:r>
          </w:p>
        </w:tc>
        <w:tc>
          <w:tcPr>
            <w:tcW w:w="243.70pt" w:type="dxa"/>
          </w:tcPr>
          <w:p w14:paraId="005CDED7"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0.888826</w:t>
            </w:r>
          </w:p>
        </w:tc>
      </w:tr>
      <w:tr w:rsidR="003B046D" w:rsidRPr="00844368" w14:paraId="3F8FBD16" w14:textId="77777777" w:rsidTr="00E86CFE">
        <w:trPr>
          <w:trHeight w:val="253"/>
        </w:trPr>
        <w:tc>
          <w:tcPr>
            <w:tcW w:w="139.50pt" w:type="dxa"/>
          </w:tcPr>
          <w:p w14:paraId="1CD9B8D4"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Adjusted R-Squared    </w:t>
            </w:r>
          </w:p>
        </w:tc>
        <w:tc>
          <w:tcPr>
            <w:tcW w:w="243.70pt" w:type="dxa"/>
          </w:tcPr>
          <w:p w14:paraId="67944E61"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0.844357</w:t>
            </w:r>
          </w:p>
        </w:tc>
      </w:tr>
      <w:tr w:rsidR="003B046D" w:rsidRPr="00844368" w14:paraId="7FA570C8" w14:textId="77777777" w:rsidTr="00A8753A">
        <w:trPr>
          <w:trHeight w:val="282"/>
        </w:trPr>
        <w:tc>
          <w:tcPr>
            <w:tcW w:w="139.50pt" w:type="dxa"/>
          </w:tcPr>
          <w:p w14:paraId="0855CF0F"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 xml:space="preserve">S.E. of Regression        </w:t>
            </w:r>
          </w:p>
        </w:tc>
        <w:tc>
          <w:tcPr>
            <w:tcW w:w="243.70pt" w:type="dxa"/>
          </w:tcPr>
          <w:p w14:paraId="5EF532A9" w14:textId="77777777" w:rsidR="003B046D" w:rsidRPr="00844368" w:rsidRDefault="003B046D" w:rsidP="00E86CFE">
            <w:pPr>
              <w:rPr>
                <w:rFonts w:ascii="Times New Roman" w:hAnsi="Times New Roman" w:cs="Times New Roman"/>
                <w:sz w:val="20"/>
                <w:szCs w:val="20"/>
              </w:rPr>
            </w:pPr>
            <w:r w:rsidRPr="00844368">
              <w:rPr>
                <w:rFonts w:ascii="Times New Roman" w:hAnsi="Times New Roman" w:cs="Times New Roman"/>
                <w:sz w:val="20"/>
                <w:szCs w:val="20"/>
              </w:rPr>
              <w:t>7.745041</w:t>
            </w:r>
          </w:p>
        </w:tc>
      </w:tr>
    </w:tbl>
    <w:p w14:paraId="08E49E5F" w14:textId="77777777" w:rsidR="003B046D" w:rsidRPr="00844368" w:rsidRDefault="003B046D" w:rsidP="003B046D">
      <w:pPr>
        <w:pStyle w:val="NormalWeb"/>
        <w:rPr>
          <w:sz w:val="20"/>
          <w:szCs w:val="20"/>
        </w:rPr>
      </w:pPr>
    </w:p>
    <w:p w14:paraId="1BAC84CA" w14:textId="39FDB897" w:rsidR="003B046D" w:rsidRDefault="003B046D" w:rsidP="0097120D">
      <w:pPr>
        <w:jc w:val="both"/>
        <w:rPr>
          <w:rFonts w:eastAsia="Times New Roman"/>
        </w:rPr>
      </w:pPr>
      <w:r w:rsidRPr="00844368">
        <w:rPr>
          <w:rFonts w:eastAsia="Times New Roman"/>
        </w:rPr>
        <w:t>Post Brazilian GDP = 384.72 - 1.93(inflation) - 0.06(tourism) + 4.92(unemployment) –</w:t>
      </w:r>
      <w:r w:rsidR="0097120D">
        <w:rPr>
          <w:rFonts w:eastAsia="Times New Roman"/>
        </w:rPr>
        <w:t xml:space="preserve"> </w:t>
      </w:r>
      <w:r w:rsidRPr="00844368">
        <w:rPr>
          <w:rFonts w:eastAsia="Times New Roman"/>
        </w:rPr>
        <w:t>24.41(other)</w:t>
      </w:r>
      <w:r w:rsidR="0097120D">
        <w:rPr>
          <w:rFonts w:eastAsia="Times New Roman"/>
        </w:rPr>
        <w:t xml:space="preserve">                                  (iv)</w:t>
      </w:r>
    </w:p>
    <w:p w14:paraId="4FBFB4DF" w14:textId="77777777" w:rsidR="0097120D" w:rsidRPr="00844368" w:rsidRDefault="0097120D" w:rsidP="003B046D">
      <w:pPr>
        <w:rPr>
          <w:rFonts w:eastAsia="Times New Roman"/>
        </w:rPr>
      </w:pPr>
    </w:p>
    <w:p w14:paraId="446EF567" w14:textId="77777777" w:rsidR="003B046D" w:rsidRPr="00844368" w:rsidRDefault="003B046D" w:rsidP="003B046D">
      <w:r w:rsidRPr="00844368">
        <w:rPr>
          <w:noProof/>
        </w:rPr>
        <w:drawing>
          <wp:inline distT="0" distB="0" distL="0" distR="0" wp14:anchorId="3FDB5D8B" wp14:editId="0080F594">
            <wp:extent cx="3429000" cy="2167890"/>
            <wp:effectExtent l="0" t="0" r="0" b="381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464252" cy="2190177"/>
                    </a:xfrm>
                    <a:prstGeom prst="rect">
                      <a:avLst/>
                    </a:prstGeom>
                  </pic:spPr>
                </pic:pic>
              </a:graphicData>
            </a:graphic>
          </wp:inline>
        </w:drawing>
      </w:r>
    </w:p>
    <w:p w14:paraId="6FC936D9" w14:textId="77777777" w:rsidR="003B046D" w:rsidRPr="00844368" w:rsidRDefault="003B046D" w:rsidP="003B046D">
      <w:pPr>
        <w:rPr>
          <w:rFonts w:eastAsia="Times New Roman"/>
        </w:rPr>
      </w:pPr>
    </w:p>
    <w:p w14:paraId="661F8EE5" w14:textId="14B377DC" w:rsidR="0097120D" w:rsidRDefault="0097120D" w:rsidP="0097120D">
      <w:pPr>
        <w:pStyle w:val="figurecaption"/>
      </w:pPr>
      <w:r>
        <w:t>Impact of Variables on Brazil’s GDP Post to the 2014 World Cup</w:t>
      </w:r>
    </w:p>
    <w:p w14:paraId="56B37316" w14:textId="77777777" w:rsidR="003B046D" w:rsidRPr="00844368" w:rsidRDefault="003B046D" w:rsidP="003B046D">
      <w:pPr>
        <w:rPr>
          <w:rFonts w:eastAsia="Times New Roman"/>
        </w:rPr>
      </w:pPr>
      <w:r w:rsidRPr="00844368">
        <w:rPr>
          <w:noProof/>
        </w:rPr>
        <w:drawing>
          <wp:inline distT="0" distB="0" distL="0" distR="0" wp14:anchorId="6D62CEB1" wp14:editId="1798D67C">
            <wp:extent cx="3429000" cy="1597660"/>
            <wp:effectExtent l="0" t="0" r="0" b="254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5"/>
                    <a:srcRect l="-0.001%" t="4.377%" r="1.224%" b="-0.136%"/>
                    <a:stretch/>
                  </pic:blipFill>
                  <pic:spPr bwMode="auto">
                    <a:xfrm>
                      <a:off x="0" y="0"/>
                      <a:ext cx="3478088" cy="1620531"/>
                    </a:xfrm>
                    <a:prstGeom prst="rect">
                      <a:avLst/>
                    </a:prstGeom>
                    <a:ln>
                      <a:noFill/>
                    </a:ln>
                    <a:extLst>
                      <a:ext uri="{53640926-AAD7-44D8-BBD7-CCE9431645EC}">
                        <a14:shadowObscured xmlns:a14="http://schemas.microsoft.com/office/drawing/2010/main"/>
                      </a:ext>
                    </a:extLst>
                  </pic:spPr>
                </pic:pic>
              </a:graphicData>
            </a:graphic>
          </wp:inline>
        </w:drawing>
      </w:r>
    </w:p>
    <w:p w14:paraId="3D52FA3E" w14:textId="77777777" w:rsidR="003B046D" w:rsidRPr="00844368" w:rsidRDefault="003B046D" w:rsidP="003B046D">
      <w:pPr>
        <w:rPr>
          <w:rFonts w:eastAsia="Times New Roman"/>
        </w:rPr>
      </w:pPr>
    </w:p>
    <w:p w14:paraId="335701E7" w14:textId="77777777" w:rsidR="003B046D" w:rsidRPr="00844368" w:rsidRDefault="003B046D" w:rsidP="003B046D">
      <w:pPr>
        <w:rPr>
          <w:rFonts w:eastAsia="Times New Roman"/>
        </w:rPr>
      </w:pPr>
    </w:p>
    <w:p w14:paraId="36546A73" w14:textId="698546AD" w:rsidR="003B046D" w:rsidRPr="00844368" w:rsidRDefault="0097120D" w:rsidP="0097120D">
      <w:pPr>
        <w:pStyle w:val="figurecaption"/>
      </w:pPr>
      <w:r>
        <w:t>Correlation Matrix: Post-2014 (Brazil)</w:t>
      </w:r>
    </w:p>
    <w:p w14:paraId="5F8494B1" w14:textId="77777777" w:rsidR="003B046D" w:rsidRPr="00844368" w:rsidRDefault="003B046D" w:rsidP="0097120D">
      <w:pPr>
        <w:pStyle w:val="Heading4"/>
      </w:pPr>
      <w:r w:rsidRPr="00844368">
        <w:t>Interpretation of Findings</w:t>
      </w:r>
    </w:p>
    <w:p w14:paraId="7C493F1C" w14:textId="77777777" w:rsidR="003B046D" w:rsidRPr="00844368" w:rsidRDefault="003B046D" w:rsidP="00E644A9">
      <w:pPr>
        <w:pStyle w:val="NormalWeb"/>
        <w:numPr>
          <w:ilvl w:val="0"/>
          <w:numId w:val="41"/>
        </w:numPr>
        <w:jc w:val="both"/>
        <w:rPr>
          <w:sz w:val="20"/>
          <w:szCs w:val="20"/>
        </w:rPr>
      </w:pPr>
      <w:r w:rsidRPr="00844368">
        <w:rPr>
          <w:rStyle w:val="Strong"/>
          <w:rFonts w:eastAsiaTheme="majorEastAsia"/>
          <w:sz w:val="20"/>
          <w:szCs w:val="20"/>
        </w:rPr>
        <w:t>Tourism Revenue Growth</w:t>
      </w:r>
      <w:r w:rsidRPr="00844368">
        <w:rPr>
          <w:sz w:val="20"/>
          <w:szCs w:val="20"/>
        </w:rPr>
        <w:t xml:space="preserve">: Contrary to popular belief, </w:t>
      </w:r>
      <w:r w:rsidRPr="00844368">
        <w:rPr>
          <w:rStyle w:val="Strong"/>
          <w:rFonts w:eastAsiaTheme="majorEastAsia"/>
          <w:sz w:val="20"/>
          <w:szCs w:val="20"/>
        </w:rPr>
        <w:t>Quarterly Tourism Revenue Growth</w:t>
      </w:r>
      <w:r w:rsidRPr="00844368">
        <w:rPr>
          <w:sz w:val="20"/>
          <w:szCs w:val="20"/>
        </w:rPr>
        <w:t xml:space="preserve"> negatively impacted Brazil’s GDP. For every percentage increase in tourism revenue growth, GDP decreased by over $60 million. This challenges the assumption that hosting the World Cup universally boosts economic performance.</w:t>
      </w:r>
    </w:p>
    <w:p w14:paraId="21071C32" w14:textId="77777777" w:rsidR="003B046D" w:rsidRPr="00844368" w:rsidRDefault="003B046D" w:rsidP="00E644A9">
      <w:pPr>
        <w:pStyle w:val="NormalWeb"/>
        <w:numPr>
          <w:ilvl w:val="0"/>
          <w:numId w:val="41"/>
        </w:numPr>
        <w:jc w:val="both"/>
        <w:rPr>
          <w:sz w:val="20"/>
          <w:szCs w:val="20"/>
        </w:rPr>
      </w:pPr>
      <w:r w:rsidRPr="00844368">
        <w:rPr>
          <w:rStyle w:val="Strong"/>
          <w:rFonts w:eastAsiaTheme="majorEastAsia"/>
          <w:sz w:val="20"/>
          <w:szCs w:val="20"/>
        </w:rPr>
        <w:t>Unemployment Rate</w:t>
      </w:r>
      <w:r w:rsidRPr="00844368">
        <w:rPr>
          <w:sz w:val="20"/>
          <w:szCs w:val="20"/>
        </w:rPr>
        <w:t>: The coefficient for unemployment reflects a peculiar relationship, potentially distorted by its high correlation with inflation. This anomaly highlights the need for caution when interpreting such results.</w:t>
      </w:r>
    </w:p>
    <w:p w14:paraId="28D169EE" w14:textId="77777777" w:rsidR="003B046D" w:rsidRPr="00844368" w:rsidRDefault="003B046D" w:rsidP="00E644A9">
      <w:pPr>
        <w:pStyle w:val="NormalWeb"/>
        <w:numPr>
          <w:ilvl w:val="0"/>
          <w:numId w:val="41"/>
        </w:numPr>
        <w:jc w:val="both"/>
        <w:rPr>
          <w:sz w:val="20"/>
          <w:szCs w:val="20"/>
        </w:rPr>
      </w:pPr>
      <w:r w:rsidRPr="00844368">
        <w:rPr>
          <w:rStyle w:val="Strong"/>
          <w:rFonts w:eastAsiaTheme="majorEastAsia"/>
          <w:sz w:val="20"/>
          <w:szCs w:val="20"/>
        </w:rPr>
        <w:t>Investment in Infrastructure</w:t>
      </w:r>
      <w:r w:rsidRPr="00844368">
        <w:rPr>
          <w:sz w:val="20"/>
          <w:szCs w:val="20"/>
        </w:rPr>
        <w:t xml:space="preserve">: Unlike the German case, </w:t>
      </w:r>
      <w:r w:rsidRPr="00844368">
        <w:rPr>
          <w:rStyle w:val="Strong"/>
          <w:rFonts w:eastAsiaTheme="majorEastAsia"/>
          <w:sz w:val="20"/>
          <w:szCs w:val="20"/>
        </w:rPr>
        <w:t>Investment in Infrastructure</w:t>
      </w:r>
      <w:r w:rsidRPr="00844368">
        <w:rPr>
          <w:sz w:val="20"/>
          <w:szCs w:val="20"/>
        </w:rPr>
        <w:t xml:space="preserve"> was included in Brazil’s post-World Cup analysis, as many construction projects were incomplete by the tournament's start. Delays and cost overruns resulted in negative contributions to GDP, with five out of twelve host cities admitting </w:t>
      </w:r>
      <w:r w:rsidRPr="00844368">
        <w:rPr>
          <w:sz w:val="20"/>
          <w:szCs w:val="20"/>
        </w:rPr>
        <w:lastRenderedPageBreak/>
        <w:t>they failed to deliver promised transportation developments on time.</w:t>
      </w:r>
    </w:p>
    <w:p w14:paraId="04D9990B" w14:textId="77777777" w:rsidR="003B046D" w:rsidRPr="00844368" w:rsidRDefault="003B046D" w:rsidP="0097120D">
      <w:pPr>
        <w:pStyle w:val="Heading4"/>
      </w:pPr>
      <w:r w:rsidRPr="00844368">
        <w:t>Broader Economic Context</w:t>
      </w:r>
    </w:p>
    <w:p w14:paraId="2AD0FCB6" w14:textId="77777777" w:rsidR="003B046D" w:rsidRPr="00844368" w:rsidRDefault="003B046D" w:rsidP="00E644A9">
      <w:pPr>
        <w:pStyle w:val="NormalWeb"/>
        <w:numPr>
          <w:ilvl w:val="0"/>
          <w:numId w:val="42"/>
        </w:numPr>
        <w:jc w:val="both"/>
        <w:rPr>
          <w:sz w:val="20"/>
          <w:szCs w:val="20"/>
        </w:rPr>
      </w:pPr>
      <w:r w:rsidRPr="00844368">
        <w:rPr>
          <w:sz w:val="20"/>
          <w:szCs w:val="20"/>
        </w:rPr>
        <w:t xml:space="preserve">Brazil's GDP experienced a significant decline from </w:t>
      </w:r>
      <w:r w:rsidRPr="00844368">
        <w:rPr>
          <w:rStyle w:val="Strong"/>
          <w:rFonts w:eastAsiaTheme="majorEastAsia"/>
          <w:sz w:val="20"/>
          <w:szCs w:val="20"/>
        </w:rPr>
        <w:t>$2.6 trillion in 2011 to just over $1.7 trillion by 2016</w:t>
      </w:r>
      <w:r w:rsidRPr="00844368">
        <w:rPr>
          <w:sz w:val="20"/>
          <w:szCs w:val="20"/>
        </w:rPr>
        <w:t xml:space="preserve">—a drop of more than 30% in five years. Quarterly GDP growth, once positive and reaching 2.3% pre-2014, plummeted to negative territory post-World Cup, ranging between </w:t>
      </w:r>
      <w:r w:rsidRPr="00844368">
        <w:rPr>
          <w:rStyle w:val="Strong"/>
          <w:rFonts w:eastAsiaTheme="majorEastAsia"/>
          <w:sz w:val="20"/>
          <w:szCs w:val="20"/>
        </w:rPr>
        <w:t>-0.1% and -2.2%</w:t>
      </w:r>
      <w:r w:rsidRPr="00844368">
        <w:rPr>
          <w:sz w:val="20"/>
          <w:szCs w:val="20"/>
        </w:rPr>
        <w:t>. These figures starkly illustrate the economic toll of hosting the tournament.</w:t>
      </w:r>
    </w:p>
    <w:p w14:paraId="2E7B910F" w14:textId="77777777" w:rsidR="003B046D" w:rsidRPr="00844368" w:rsidRDefault="003B046D" w:rsidP="0097120D">
      <w:pPr>
        <w:pStyle w:val="Heading4"/>
      </w:pPr>
      <w:r w:rsidRPr="00844368">
        <w:t>Comparative Insights and Model Usefulness</w:t>
      </w:r>
    </w:p>
    <w:p w14:paraId="5578B61A" w14:textId="77777777" w:rsidR="003B046D" w:rsidRPr="00844368" w:rsidRDefault="003B046D" w:rsidP="00E644A9">
      <w:pPr>
        <w:pStyle w:val="NormalWeb"/>
        <w:numPr>
          <w:ilvl w:val="0"/>
          <w:numId w:val="42"/>
        </w:numPr>
        <w:jc w:val="both"/>
        <w:rPr>
          <w:sz w:val="20"/>
          <w:szCs w:val="20"/>
        </w:rPr>
      </w:pPr>
      <w:r w:rsidRPr="00844368">
        <w:rPr>
          <w:sz w:val="20"/>
          <w:szCs w:val="20"/>
        </w:rPr>
        <w:t>Interestingly, the regression model fits Brazil’s data better than Germany’s, as reflected in the higher Adjusted R-squared and the inclusion of more statistically significant variables. While some individual predictors lack significance, the model’s overall predictive power makes it a valuable tool for assessing the economic impact of future mega-events in host countries.</w:t>
      </w:r>
    </w:p>
    <w:p w14:paraId="2927BBDC" w14:textId="07B1A301" w:rsidR="0097120D" w:rsidRDefault="0097120D" w:rsidP="003B046D">
      <w:pPr>
        <w:pStyle w:val="figurecaption"/>
        <w:numPr>
          <w:ilvl w:val="0"/>
          <w:numId w:val="0"/>
        </w:numPr>
        <w:pBdr>
          <w:bottom w:val="single" w:sz="6" w:space="1" w:color="auto"/>
        </w:pBdr>
      </w:pPr>
    </w:p>
    <w:p w14:paraId="34B88201" w14:textId="77777777" w:rsidR="0097120D" w:rsidRPr="00844368" w:rsidRDefault="0097120D" w:rsidP="009D2DBE">
      <w:pPr>
        <w:pStyle w:val="Heading2"/>
        <w:jc w:val="both"/>
      </w:pPr>
      <w:r w:rsidRPr="00844368">
        <w:t>Economic Impact of South Africa's FIFA 2010 Hosting: Before and After</w:t>
      </w:r>
    </w:p>
    <w:p w14:paraId="25602CB8" w14:textId="77777777" w:rsidR="0097120D" w:rsidRPr="00844368" w:rsidRDefault="0097120D" w:rsidP="009D2DBE">
      <w:pPr>
        <w:jc w:val="both"/>
      </w:pPr>
    </w:p>
    <w:p w14:paraId="75A045D7" w14:textId="77777777" w:rsidR="0097120D" w:rsidRPr="00844368" w:rsidRDefault="0097120D" w:rsidP="009D2DBE">
      <w:pPr>
        <w:jc w:val="both"/>
      </w:pPr>
      <w:r w:rsidRPr="00844368">
        <w:t>South Africa’s successful bid to host the 2010 FIFA World Cup was driven by ambitious socio-economic goals, including boosting economic growth, creating jobs, and showcasing the country's potential on a global stage. Below, we explore the economic effects before and after hosting the event, supported by relevant data and analyses from scholarly sources.</w:t>
      </w:r>
    </w:p>
    <w:p w14:paraId="20A42F63" w14:textId="77777777" w:rsidR="0097120D" w:rsidRPr="00844368" w:rsidRDefault="0097120D" w:rsidP="009D2DBE">
      <w:pPr>
        <w:jc w:val="both"/>
      </w:pPr>
    </w:p>
    <w:p w14:paraId="55BA9A31" w14:textId="77777777" w:rsidR="0097120D" w:rsidRPr="00844368" w:rsidRDefault="0097120D" w:rsidP="009D2DBE">
      <w:pPr>
        <w:pStyle w:val="Heading3"/>
      </w:pPr>
      <w:r w:rsidRPr="00844368">
        <w:t>Economic Conditions Before Hosting</w:t>
      </w:r>
    </w:p>
    <w:p w14:paraId="72BA309A" w14:textId="77777777" w:rsidR="0097120D" w:rsidRPr="00844368" w:rsidRDefault="0097120D" w:rsidP="009D2DBE">
      <w:pPr>
        <w:pStyle w:val="Heading5"/>
        <w:jc w:val="both"/>
      </w:pPr>
      <w:r w:rsidRPr="00844368">
        <w:t>Key Preparations:</w:t>
      </w:r>
    </w:p>
    <w:p w14:paraId="26F62D55" w14:textId="4D35D68B" w:rsidR="00D17195" w:rsidRPr="00D17195" w:rsidRDefault="0097120D" w:rsidP="009D2DBE">
      <w:pPr>
        <w:pStyle w:val="Heading4"/>
        <w:rPr>
          <w:b/>
        </w:rPr>
      </w:pPr>
      <w:r w:rsidRPr="00D17195">
        <w:rPr>
          <w:b/>
        </w:rPr>
        <w:t xml:space="preserve">Infrastructure Development: </w:t>
      </w:r>
    </w:p>
    <w:p w14:paraId="6BE765E0" w14:textId="60EE09AD" w:rsidR="0097120D" w:rsidRPr="00844368" w:rsidRDefault="0097120D" w:rsidP="009D2DBE">
      <w:pPr>
        <w:pStyle w:val="ListParagraph"/>
        <w:numPr>
          <w:ilvl w:val="0"/>
          <w:numId w:val="0"/>
        </w:numPr>
        <w:ind w:start="36pt"/>
      </w:pPr>
      <w:r w:rsidRPr="00844368">
        <w:t>South Africa invested heavily in building or upgrading 10 stadiums and modernizing transportation networks, such as the Gautrain and improved airports.</w:t>
      </w:r>
    </w:p>
    <w:p w14:paraId="5A4E4A0D" w14:textId="087BCD10" w:rsidR="00D17195" w:rsidRPr="00D17195" w:rsidRDefault="0097120D" w:rsidP="009D2DBE">
      <w:pPr>
        <w:pStyle w:val="Heading4"/>
        <w:rPr>
          <w:b/>
        </w:rPr>
      </w:pPr>
      <w:r w:rsidRPr="00D17195">
        <w:rPr>
          <w:b/>
        </w:rPr>
        <w:t xml:space="preserve">Tourism Expansion: </w:t>
      </w:r>
    </w:p>
    <w:p w14:paraId="273C2BCD" w14:textId="097EA360" w:rsidR="0097120D" w:rsidRPr="00844368" w:rsidRDefault="0097120D" w:rsidP="009D2DBE">
      <w:pPr>
        <w:pStyle w:val="ListParagraph"/>
        <w:numPr>
          <w:ilvl w:val="0"/>
          <w:numId w:val="0"/>
        </w:numPr>
        <w:ind w:start="36pt"/>
      </w:pPr>
      <w:r w:rsidRPr="00844368">
        <w:t>Strategic marketing campaigns aimed to position South Africa as a prime tourist destination.</w:t>
      </w:r>
    </w:p>
    <w:p w14:paraId="43CA7EC2" w14:textId="017318E1" w:rsidR="00D17195" w:rsidRPr="0097120D" w:rsidRDefault="00D17195" w:rsidP="009D2DBE">
      <w:pPr>
        <w:pStyle w:val="tablehead"/>
        <w:jc w:val="both"/>
      </w:pPr>
      <w:r>
        <w:t>Economic Conditions before Hosting</w:t>
      </w:r>
    </w:p>
    <w:p w14:paraId="3E1D3830" w14:textId="77777777" w:rsidR="0097120D" w:rsidRPr="00844368" w:rsidRDefault="0097120D" w:rsidP="009D2DBE">
      <w:pPr>
        <w:jc w:val="both"/>
        <w:rPr>
          <w:i/>
          <w:u w:val="single"/>
        </w:rPr>
      </w:pPr>
    </w:p>
    <w:tbl>
      <w:tblPr>
        <w:tblStyle w:val="TableGrid"/>
        <w:tblW w:w="0pt" w:type="dxa"/>
        <w:jc w:val="center"/>
        <w:tblBorders>
          <w:start w:val="none" w:sz="0" w:space="0" w:color="auto"/>
          <w:end w:val="none" w:sz="0" w:space="0" w:color="auto"/>
          <w:insideV w:val="none" w:sz="0" w:space="0" w:color="auto"/>
        </w:tblBorders>
        <w:tblLook w:firstRow="1" w:lastRow="0" w:firstColumn="1" w:lastColumn="0" w:noHBand="0" w:noVBand="1"/>
      </w:tblPr>
      <w:tblGrid>
        <w:gridCol w:w="1942"/>
        <w:gridCol w:w="1039"/>
        <w:gridCol w:w="1885"/>
      </w:tblGrid>
      <w:tr w:rsidR="0097120D" w:rsidRPr="00844368" w14:paraId="1D73F3A5" w14:textId="77777777" w:rsidTr="00D17195">
        <w:trPr>
          <w:jc w:val="center"/>
        </w:trPr>
        <w:tc>
          <w:tcPr>
            <w:tcW w:w="138.70pt" w:type="dxa"/>
            <w:tcBorders>
              <w:top w:val="single" w:sz="4" w:space="0" w:color="auto"/>
              <w:bottom w:val="single" w:sz="4" w:space="0" w:color="auto"/>
            </w:tcBorders>
          </w:tcPr>
          <w:p w14:paraId="020154BF" w14:textId="77777777" w:rsidR="0097120D" w:rsidRPr="00844368" w:rsidRDefault="0097120D" w:rsidP="009D2DBE">
            <w:pPr>
              <w:jc w:val="both"/>
              <w:rPr>
                <w:rFonts w:ascii="Times New Roman" w:hAnsi="Times New Roman" w:cs="Times New Roman"/>
                <w:i/>
                <w:sz w:val="20"/>
                <w:szCs w:val="20"/>
              </w:rPr>
            </w:pPr>
            <w:r w:rsidRPr="00844368">
              <w:rPr>
                <w:rFonts w:ascii="Times New Roman" w:hAnsi="Times New Roman" w:cs="Times New Roman"/>
                <w:i/>
                <w:sz w:val="20"/>
                <w:szCs w:val="20"/>
              </w:rPr>
              <w:t>Metrics</w:t>
            </w:r>
          </w:p>
        </w:tc>
        <w:tc>
          <w:tcPr>
            <w:tcW w:w="75.05pt" w:type="dxa"/>
            <w:tcBorders>
              <w:top w:val="single" w:sz="4" w:space="0" w:color="auto"/>
              <w:bottom w:val="single" w:sz="4" w:space="0" w:color="auto"/>
            </w:tcBorders>
          </w:tcPr>
          <w:p w14:paraId="081CC58F" w14:textId="77777777" w:rsidR="0097120D" w:rsidRPr="00844368" w:rsidRDefault="0097120D" w:rsidP="009D2DBE">
            <w:pPr>
              <w:jc w:val="both"/>
              <w:rPr>
                <w:rFonts w:ascii="Times New Roman" w:hAnsi="Times New Roman" w:cs="Times New Roman"/>
                <w:i/>
                <w:sz w:val="20"/>
                <w:szCs w:val="20"/>
              </w:rPr>
            </w:pPr>
            <w:r w:rsidRPr="00844368">
              <w:rPr>
                <w:rFonts w:ascii="Times New Roman" w:hAnsi="Times New Roman" w:cs="Times New Roman"/>
                <w:i/>
                <w:sz w:val="20"/>
                <w:szCs w:val="20"/>
              </w:rPr>
              <w:t>Value</w:t>
            </w:r>
          </w:p>
        </w:tc>
        <w:tc>
          <w:tcPr>
            <w:tcW w:w="176.10pt" w:type="dxa"/>
            <w:tcBorders>
              <w:top w:val="single" w:sz="4" w:space="0" w:color="auto"/>
              <w:bottom w:val="single" w:sz="4" w:space="0" w:color="auto"/>
            </w:tcBorders>
          </w:tcPr>
          <w:p w14:paraId="52D3ABD5" w14:textId="77777777" w:rsidR="0097120D" w:rsidRPr="00844368" w:rsidRDefault="0097120D" w:rsidP="009D2DBE">
            <w:pPr>
              <w:jc w:val="both"/>
              <w:rPr>
                <w:rFonts w:ascii="Times New Roman" w:hAnsi="Times New Roman" w:cs="Times New Roman"/>
                <w:i/>
                <w:sz w:val="20"/>
                <w:szCs w:val="20"/>
              </w:rPr>
            </w:pPr>
            <w:r w:rsidRPr="00844368">
              <w:rPr>
                <w:rFonts w:ascii="Times New Roman" w:hAnsi="Times New Roman" w:cs="Times New Roman"/>
                <w:i/>
                <w:sz w:val="20"/>
                <w:szCs w:val="20"/>
              </w:rPr>
              <w:t>Source</w:t>
            </w:r>
          </w:p>
        </w:tc>
      </w:tr>
      <w:tr w:rsidR="0097120D" w:rsidRPr="00844368" w14:paraId="3320BD6F" w14:textId="77777777" w:rsidTr="00D17195">
        <w:trPr>
          <w:jc w:val="center"/>
        </w:trPr>
        <w:tc>
          <w:tcPr>
            <w:tcW w:w="138.70pt" w:type="dxa"/>
            <w:tcBorders>
              <w:top w:val="single" w:sz="4" w:space="0" w:color="auto"/>
              <w:bottom w:val="nil"/>
            </w:tcBorders>
          </w:tcPr>
          <w:p w14:paraId="0456D35E"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GDP Growth Rate (2006-2009)</w:t>
            </w:r>
          </w:p>
        </w:tc>
        <w:tc>
          <w:tcPr>
            <w:tcW w:w="75.05pt" w:type="dxa"/>
            <w:tcBorders>
              <w:top w:val="single" w:sz="4" w:space="0" w:color="auto"/>
              <w:bottom w:val="nil"/>
            </w:tcBorders>
          </w:tcPr>
          <w:p w14:paraId="11F76922"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2.8%-5.4%</w:t>
            </w:r>
          </w:p>
        </w:tc>
        <w:tc>
          <w:tcPr>
            <w:tcW w:w="176.10pt" w:type="dxa"/>
            <w:tcBorders>
              <w:top w:val="single" w:sz="4" w:space="0" w:color="auto"/>
              <w:bottom w:val="nil"/>
            </w:tcBorders>
          </w:tcPr>
          <w:p w14:paraId="5B8908BA"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World Bank</w:t>
            </w:r>
          </w:p>
        </w:tc>
      </w:tr>
      <w:tr w:rsidR="0097120D" w:rsidRPr="00844368" w14:paraId="6783F86C" w14:textId="77777777" w:rsidTr="00D17195">
        <w:trPr>
          <w:jc w:val="center"/>
        </w:trPr>
        <w:tc>
          <w:tcPr>
            <w:tcW w:w="138.70pt" w:type="dxa"/>
            <w:tcBorders>
              <w:top w:val="nil"/>
              <w:bottom w:val="nil"/>
            </w:tcBorders>
          </w:tcPr>
          <w:p w14:paraId="0A101A74"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Unemployment Rate</w:t>
            </w:r>
          </w:p>
        </w:tc>
        <w:tc>
          <w:tcPr>
            <w:tcW w:w="75.05pt" w:type="dxa"/>
            <w:tcBorders>
              <w:top w:val="nil"/>
              <w:bottom w:val="nil"/>
            </w:tcBorders>
          </w:tcPr>
          <w:p w14:paraId="26D3806D"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~25%</w:t>
            </w:r>
          </w:p>
        </w:tc>
        <w:tc>
          <w:tcPr>
            <w:tcW w:w="176.10pt" w:type="dxa"/>
            <w:tcBorders>
              <w:top w:val="nil"/>
              <w:bottom w:val="nil"/>
            </w:tcBorders>
          </w:tcPr>
          <w:p w14:paraId="1AF2967D"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South African Statistics Bureau</w:t>
            </w:r>
          </w:p>
        </w:tc>
      </w:tr>
      <w:tr w:rsidR="0097120D" w:rsidRPr="00844368" w14:paraId="09F997DA" w14:textId="77777777" w:rsidTr="00D17195">
        <w:trPr>
          <w:jc w:val="center"/>
        </w:trPr>
        <w:tc>
          <w:tcPr>
            <w:tcW w:w="138.70pt" w:type="dxa"/>
            <w:tcBorders>
              <w:top w:val="nil"/>
              <w:bottom w:val="single" w:sz="4" w:space="0" w:color="auto"/>
            </w:tcBorders>
          </w:tcPr>
          <w:p w14:paraId="4CDE3E38"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Total Investment in Event</w:t>
            </w:r>
          </w:p>
        </w:tc>
        <w:tc>
          <w:tcPr>
            <w:tcW w:w="75.05pt" w:type="dxa"/>
            <w:tcBorders>
              <w:top w:val="nil"/>
              <w:bottom w:val="single" w:sz="4" w:space="0" w:color="auto"/>
            </w:tcBorders>
          </w:tcPr>
          <w:p w14:paraId="0505D545"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$3.6 Billion</w:t>
            </w:r>
          </w:p>
        </w:tc>
        <w:tc>
          <w:tcPr>
            <w:tcW w:w="176.10pt" w:type="dxa"/>
            <w:tcBorders>
              <w:top w:val="nil"/>
              <w:bottom w:val="single" w:sz="4" w:space="0" w:color="auto"/>
            </w:tcBorders>
          </w:tcPr>
          <w:p w14:paraId="4BD37342" w14:textId="77777777" w:rsidR="0097120D" w:rsidRPr="00844368" w:rsidRDefault="0097120D" w:rsidP="009D2DBE">
            <w:pPr>
              <w:jc w:val="both"/>
              <w:rPr>
                <w:rFonts w:ascii="Times New Roman" w:hAnsi="Times New Roman" w:cs="Times New Roman"/>
                <w:sz w:val="20"/>
                <w:szCs w:val="20"/>
              </w:rPr>
            </w:pPr>
            <w:r w:rsidRPr="00844368">
              <w:rPr>
                <w:rFonts w:ascii="Times New Roman" w:hAnsi="Times New Roman" w:cs="Times New Roman"/>
                <w:sz w:val="20"/>
                <w:szCs w:val="20"/>
              </w:rPr>
              <w:t>FIFA World Cup Report, 2010</w:t>
            </w:r>
          </w:p>
        </w:tc>
      </w:tr>
    </w:tbl>
    <w:p w14:paraId="474336C0" w14:textId="77777777" w:rsidR="0097120D" w:rsidRPr="00844368" w:rsidRDefault="0097120D" w:rsidP="009D2DBE">
      <w:pPr>
        <w:jc w:val="both"/>
      </w:pPr>
    </w:p>
    <w:p w14:paraId="64D83068" w14:textId="774BB0C8" w:rsidR="00D17195" w:rsidRDefault="00D17195" w:rsidP="009D2DBE">
      <w:pPr>
        <w:pStyle w:val="tablehead"/>
        <w:jc w:val="both"/>
      </w:pPr>
      <w:r>
        <w:t>Post Economic Impact</w:t>
      </w:r>
    </w:p>
    <w:p w14:paraId="33718B01" w14:textId="53D79D12" w:rsidR="0097120D" w:rsidRDefault="0097120D" w:rsidP="009D2DBE">
      <w:pPr>
        <w:jc w:val="both"/>
      </w:pPr>
    </w:p>
    <w:tbl>
      <w:tblPr>
        <w:tblStyle w:val="TableGrid"/>
        <w:tblW w:w="273.25pt" w:type="dxa"/>
        <w:tblBorders>
          <w:start w:val="none" w:sz="0" w:space="0" w:color="auto"/>
          <w:end w:val="none" w:sz="0" w:space="0" w:color="auto"/>
          <w:insideV w:val="none" w:sz="0" w:space="0" w:color="auto"/>
        </w:tblBorders>
        <w:tblLayout w:type="fixed"/>
        <w:tblLook w:firstRow="1" w:lastRow="0" w:firstColumn="1" w:lastColumn="0" w:noHBand="0" w:noVBand="1"/>
      </w:tblPr>
      <w:tblGrid>
        <w:gridCol w:w="990"/>
        <w:gridCol w:w="990"/>
        <w:gridCol w:w="972"/>
        <w:gridCol w:w="1188"/>
        <w:gridCol w:w="1325"/>
      </w:tblGrid>
      <w:tr w:rsidR="009D2DBE" w:rsidRPr="00844368" w14:paraId="7E562F7D" w14:textId="77777777" w:rsidTr="009D2DBE">
        <w:trPr>
          <w:trHeight w:val="418"/>
        </w:trPr>
        <w:tc>
          <w:tcPr>
            <w:tcW w:w="49.50pt" w:type="dxa"/>
            <w:tcBorders>
              <w:top w:val="single" w:sz="4" w:space="0" w:color="auto"/>
              <w:bottom w:val="single" w:sz="4" w:space="0" w:color="auto"/>
            </w:tcBorders>
          </w:tcPr>
          <w:p w14:paraId="64CADB43" w14:textId="77777777" w:rsidR="009D2DBE" w:rsidRPr="00844368" w:rsidRDefault="009D2DBE" w:rsidP="009D2DBE">
            <w:pPr>
              <w:jc w:val="both"/>
              <w:rPr>
                <w:rFonts w:ascii="Times New Roman" w:hAnsi="Times New Roman" w:cs="Times New Roman"/>
                <w:i/>
                <w:sz w:val="20"/>
                <w:szCs w:val="20"/>
              </w:rPr>
            </w:pPr>
            <w:bookmarkStart w:id="1" w:name="_Hlk185498053"/>
            <w:r w:rsidRPr="00844368">
              <w:rPr>
                <w:rFonts w:ascii="Times New Roman" w:hAnsi="Times New Roman" w:cs="Times New Roman"/>
                <w:i/>
                <w:sz w:val="20"/>
                <w:szCs w:val="20"/>
              </w:rPr>
              <w:t>Category</w:t>
            </w:r>
          </w:p>
        </w:tc>
        <w:tc>
          <w:tcPr>
            <w:tcW w:w="49.50pt" w:type="dxa"/>
            <w:tcBorders>
              <w:top w:val="single" w:sz="4" w:space="0" w:color="auto"/>
              <w:bottom w:val="single" w:sz="4" w:space="0" w:color="auto"/>
            </w:tcBorders>
          </w:tcPr>
          <w:p w14:paraId="554A847C" w14:textId="77777777" w:rsidR="009D2DBE" w:rsidRPr="00844368" w:rsidRDefault="009D2DBE" w:rsidP="009D2DBE">
            <w:pPr>
              <w:jc w:val="both"/>
              <w:rPr>
                <w:rFonts w:ascii="Times New Roman" w:hAnsi="Times New Roman" w:cs="Times New Roman"/>
                <w:i/>
                <w:sz w:val="20"/>
                <w:szCs w:val="20"/>
              </w:rPr>
            </w:pPr>
            <w:r w:rsidRPr="00844368">
              <w:rPr>
                <w:rFonts w:ascii="Times New Roman" w:hAnsi="Times New Roman" w:cs="Times New Roman"/>
                <w:i/>
                <w:sz w:val="20"/>
                <w:szCs w:val="20"/>
              </w:rPr>
              <w:t>Pre-Event (2009)</w:t>
            </w:r>
          </w:p>
        </w:tc>
        <w:tc>
          <w:tcPr>
            <w:tcW w:w="48.60pt" w:type="dxa"/>
            <w:tcBorders>
              <w:top w:val="single" w:sz="4" w:space="0" w:color="auto"/>
              <w:bottom w:val="single" w:sz="4" w:space="0" w:color="auto"/>
            </w:tcBorders>
          </w:tcPr>
          <w:p w14:paraId="26C97F83" w14:textId="77777777" w:rsidR="009D2DBE" w:rsidRPr="00844368" w:rsidRDefault="009D2DBE" w:rsidP="009D2DBE">
            <w:pPr>
              <w:jc w:val="both"/>
              <w:rPr>
                <w:rFonts w:ascii="Times New Roman" w:hAnsi="Times New Roman" w:cs="Times New Roman"/>
                <w:i/>
                <w:sz w:val="20"/>
                <w:szCs w:val="20"/>
              </w:rPr>
            </w:pPr>
            <w:r w:rsidRPr="00844368">
              <w:rPr>
                <w:rFonts w:ascii="Times New Roman" w:hAnsi="Times New Roman" w:cs="Times New Roman"/>
                <w:i/>
                <w:sz w:val="20"/>
                <w:szCs w:val="20"/>
              </w:rPr>
              <w:t>During Event (2010)</w:t>
            </w:r>
          </w:p>
        </w:tc>
        <w:tc>
          <w:tcPr>
            <w:tcW w:w="59.40pt" w:type="dxa"/>
            <w:tcBorders>
              <w:top w:val="single" w:sz="4" w:space="0" w:color="auto"/>
              <w:bottom w:val="single" w:sz="4" w:space="0" w:color="auto"/>
            </w:tcBorders>
          </w:tcPr>
          <w:p w14:paraId="1B2D7EBD" w14:textId="77777777" w:rsidR="009D2DBE" w:rsidRPr="00844368" w:rsidRDefault="009D2DBE" w:rsidP="009D2DBE">
            <w:pPr>
              <w:jc w:val="both"/>
              <w:rPr>
                <w:rFonts w:ascii="Times New Roman" w:hAnsi="Times New Roman" w:cs="Times New Roman"/>
                <w:i/>
                <w:sz w:val="20"/>
                <w:szCs w:val="20"/>
              </w:rPr>
            </w:pPr>
            <w:r w:rsidRPr="00844368">
              <w:rPr>
                <w:rFonts w:ascii="Times New Roman" w:hAnsi="Times New Roman" w:cs="Times New Roman"/>
                <w:i/>
                <w:sz w:val="20"/>
                <w:szCs w:val="20"/>
              </w:rPr>
              <w:t>Post-Event (2011-2013)</w:t>
            </w:r>
          </w:p>
        </w:tc>
        <w:tc>
          <w:tcPr>
            <w:tcW w:w="66.25pt" w:type="dxa"/>
            <w:tcBorders>
              <w:top w:val="single" w:sz="4" w:space="0" w:color="auto"/>
              <w:bottom w:val="single" w:sz="4" w:space="0" w:color="auto"/>
            </w:tcBorders>
          </w:tcPr>
          <w:p w14:paraId="3B63CA57" w14:textId="77777777" w:rsidR="009D2DBE" w:rsidRPr="00844368" w:rsidRDefault="009D2DBE" w:rsidP="009D2DBE">
            <w:pPr>
              <w:jc w:val="both"/>
              <w:rPr>
                <w:rFonts w:ascii="Times New Roman" w:hAnsi="Times New Roman" w:cs="Times New Roman"/>
                <w:i/>
                <w:sz w:val="20"/>
                <w:szCs w:val="20"/>
              </w:rPr>
            </w:pPr>
            <w:r w:rsidRPr="00844368">
              <w:rPr>
                <w:rFonts w:ascii="Times New Roman" w:hAnsi="Times New Roman" w:cs="Times New Roman"/>
                <w:i/>
                <w:sz w:val="20"/>
                <w:szCs w:val="20"/>
              </w:rPr>
              <w:t>Source</w:t>
            </w:r>
          </w:p>
        </w:tc>
      </w:tr>
      <w:tr w:rsidR="009D2DBE" w:rsidRPr="00844368" w14:paraId="2EC7717F" w14:textId="77777777" w:rsidTr="009D2DBE">
        <w:trPr>
          <w:trHeight w:val="431"/>
        </w:trPr>
        <w:tc>
          <w:tcPr>
            <w:tcW w:w="49.50pt" w:type="dxa"/>
            <w:tcBorders>
              <w:top w:val="single" w:sz="4" w:space="0" w:color="auto"/>
              <w:bottom w:val="nil"/>
            </w:tcBorders>
          </w:tcPr>
          <w:p w14:paraId="4B68BDFA"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Tourism Revenue</w:t>
            </w:r>
          </w:p>
        </w:tc>
        <w:tc>
          <w:tcPr>
            <w:tcW w:w="49.50pt" w:type="dxa"/>
            <w:tcBorders>
              <w:top w:val="single" w:sz="4" w:space="0" w:color="auto"/>
              <w:bottom w:val="nil"/>
            </w:tcBorders>
          </w:tcPr>
          <w:p w14:paraId="0C4D0B7F"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$8.8 Billion</w:t>
            </w:r>
          </w:p>
        </w:tc>
        <w:tc>
          <w:tcPr>
            <w:tcW w:w="48.60pt" w:type="dxa"/>
            <w:tcBorders>
              <w:top w:val="single" w:sz="4" w:space="0" w:color="auto"/>
              <w:bottom w:val="nil"/>
            </w:tcBorders>
          </w:tcPr>
          <w:p w14:paraId="02BEBB4A"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$13 Billion</w:t>
            </w:r>
          </w:p>
        </w:tc>
        <w:tc>
          <w:tcPr>
            <w:tcW w:w="59.40pt" w:type="dxa"/>
            <w:tcBorders>
              <w:top w:val="single" w:sz="4" w:space="0" w:color="auto"/>
              <w:bottom w:val="nil"/>
            </w:tcBorders>
          </w:tcPr>
          <w:p w14:paraId="6A23C98A"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$11 Billion</w:t>
            </w:r>
          </w:p>
        </w:tc>
        <w:tc>
          <w:tcPr>
            <w:tcW w:w="66.25pt" w:type="dxa"/>
            <w:tcBorders>
              <w:top w:val="single" w:sz="4" w:space="0" w:color="auto"/>
              <w:bottom w:val="nil"/>
            </w:tcBorders>
          </w:tcPr>
          <w:p w14:paraId="79F7B429"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Mortada, 2024</w:t>
            </w:r>
          </w:p>
        </w:tc>
      </w:tr>
      <w:tr w:rsidR="009D2DBE" w:rsidRPr="00844368" w14:paraId="7E6EB4EC" w14:textId="77777777" w:rsidTr="009D2DBE">
        <w:trPr>
          <w:trHeight w:val="418"/>
        </w:trPr>
        <w:tc>
          <w:tcPr>
            <w:tcW w:w="49.50pt" w:type="dxa"/>
            <w:tcBorders>
              <w:top w:val="nil"/>
              <w:bottom w:val="nil"/>
            </w:tcBorders>
          </w:tcPr>
          <w:p w14:paraId="3459DE7E"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Job Creation</w:t>
            </w:r>
          </w:p>
        </w:tc>
        <w:tc>
          <w:tcPr>
            <w:tcW w:w="49.50pt" w:type="dxa"/>
            <w:tcBorders>
              <w:top w:val="nil"/>
              <w:bottom w:val="nil"/>
            </w:tcBorders>
          </w:tcPr>
          <w:p w14:paraId="76B95AF1"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~150,000(temporary)</w:t>
            </w:r>
          </w:p>
        </w:tc>
        <w:tc>
          <w:tcPr>
            <w:tcW w:w="48.60pt" w:type="dxa"/>
            <w:tcBorders>
              <w:top w:val="nil"/>
              <w:bottom w:val="nil"/>
            </w:tcBorders>
          </w:tcPr>
          <w:p w14:paraId="3FE2C138"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~200,000(temporary)</w:t>
            </w:r>
          </w:p>
        </w:tc>
        <w:tc>
          <w:tcPr>
            <w:tcW w:w="59.40pt" w:type="dxa"/>
            <w:tcBorders>
              <w:top w:val="nil"/>
              <w:bottom w:val="nil"/>
            </w:tcBorders>
          </w:tcPr>
          <w:p w14:paraId="791B49F2"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~40,000(Sustained)</w:t>
            </w:r>
          </w:p>
        </w:tc>
        <w:tc>
          <w:tcPr>
            <w:tcW w:w="66.25pt" w:type="dxa"/>
            <w:tcBorders>
              <w:top w:val="nil"/>
              <w:bottom w:val="nil"/>
            </w:tcBorders>
          </w:tcPr>
          <w:p w14:paraId="26F0C97E"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Coetzee, 2024</w:t>
            </w:r>
          </w:p>
        </w:tc>
      </w:tr>
      <w:tr w:rsidR="009D2DBE" w:rsidRPr="00844368" w14:paraId="2CE69830" w14:textId="77777777" w:rsidTr="009D2DBE">
        <w:trPr>
          <w:trHeight w:val="642"/>
        </w:trPr>
        <w:tc>
          <w:tcPr>
            <w:tcW w:w="49.50pt" w:type="dxa"/>
            <w:tcBorders>
              <w:top w:val="nil"/>
              <w:bottom w:val="single" w:sz="4" w:space="0" w:color="auto"/>
            </w:tcBorders>
          </w:tcPr>
          <w:p w14:paraId="781FACE1"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GDP Contribution</w:t>
            </w:r>
          </w:p>
        </w:tc>
        <w:tc>
          <w:tcPr>
            <w:tcW w:w="49.50pt" w:type="dxa"/>
            <w:tcBorders>
              <w:top w:val="nil"/>
              <w:bottom w:val="single" w:sz="4" w:space="0" w:color="auto"/>
            </w:tcBorders>
          </w:tcPr>
          <w:p w14:paraId="72382A59"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2.5% increase</w:t>
            </w:r>
          </w:p>
        </w:tc>
        <w:tc>
          <w:tcPr>
            <w:tcW w:w="48.60pt" w:type="dxa"/>
            <w:tcBorders>
              <w:top w:val="nil"/>
              <w:bottom w:val="single" w:sz="4" w:space="0" w:color="auto"/>
            </w:tcBorders>
          </w:tcPr>
          <w:p w14:paraId="6FBD86D9"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5% increase</w:t>
            </w:r>
          </w:p>
        </w:tc>
        <w:tc>
          <w:tcPr>
            <w:tcW w:w="59.40pt" w:type="dxa"/>
            <w:tcBorders>
              <w:top w:val="nil"/>
              <w:bottom w:val="single" w:sz="4" w:space="0" w:color="auto"/>
            </w:tcBorders>
          </w:tcPr>
          <w:p w14:paraId="54EB3009"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Stabilized to ~3% growth</w:t>
            </w:r>
          </w:p>
        </w:tc>
        <w:tc>
          <w:tcPr>
            <w:tcW w:w="66.25pt" w:type="dxa"/>
            <w:tcBorders>
              <w:top w:val="nil"/>
              <w:bottom w:val="single" w:sz="4" w:space="0" w:color="auto"/>
            </w:tcBorders>
          </w:tcPr>
          <w:p w14:paraId="5D9EB730" w14:textId="77777777" w:rsidR="009D2DBE" w:rsidRPr="00844368" w:rsidRDefault="009D2DBE" w:rsidP="009D2DBE">
            <w:pPr>
              <w:jc w:val="both"/>
              <w:rPr>
                <w:rFonts w:ascii="Times New Roman" w:hAnsi="Times New Roman" w:cs="Times New Roman"/>
                <w:sz w:val="20"/>
                <w:szCs w:val="20"/>
              </w:rPr>
            </w:pPr>
            <w:r w:rsidRPr="00844368">
              <w:rPr>
                <w:rFonts w:ascii="Times New Roman" w:hAnsi="Times New Roman" w:cs="Times New Roman"/>
                <w:sz w:val="20"/>
                <w:szCs w:val="20"/>
              </w:rPr>
              <w:t xml:space="preserve">Swart &amp; </w:t>
            </w:r>
            <w:proofErr w:type="spellStart"/>
            <w:r w:rsidRPr="00844368">
              <w:rPr>
                <w:rFonts w:ascii="Times New Roman" w:hAnsi="Times New Roman" w:cs="Times New Roman"/>
                <w:sz w:val="20"/>
                <w:szCs w:val="20"/>
              </w:rPr>
              <w:t>Bouah</w:t>
            </w:r>
            <w:proofErr w:type="spellEnd"/>
            <w:r w:rsidRPr="00844368">
              <w:rPr>
                <w:rFonts w:ascii="Times New Roman" w:hAnsi="Times New Roman" w:cs="Times New Roman"/>
                <w:sz w:val="20"/>
                <w:szCs w:val="20"/>
              </w:rPr>
              <w:t>, 2024</w:t>
            </w:r>
          </w:p>
        </w:tc>
      </w:tr>
      <w:bookmarkEnd w:id="1"/>
    </w:tbl>
    <w:p w14:paraId="11B195C2" w14:textId="77777777" w:rsidR="009D2DBE" w:rsidRPr="00844368" w:rsidRDefault="009D2DBE" w:rsidP="009D2DBE">
      <w:pPr>
        <w:jc w:val="both"/>
      </w:pPr>
    </w:p>
    <w:p w14:paraId="25EE8247" w14:textId="77777777" w:rsidR="0097120D" w:rsidRPr="00844368" w:rsidRDefault="0097120D" w:rsidP="009D2DBE">
      <w:pPr>
        <w:pStyle w:val="Heading5"/>
        <w:jc w:val="both"/>
      </w:pPr>
      <w:r w:rsidRPr="00844368">
        <w:rPr>
          <w:rStyle w:val="Strong"/>
          <w:b w:val="0"/>
          <w:bCs w:val="0"/>
        </w:rPr>
        <w:t>Detailed Insights:</w:t>
      </w:r>
    </w:p>
    <w:p w14:paraId="4A089A43" w14:textId="77777777" w:rsidR="0097120D" w:rsidRPr="00844368" w:rsidRDefault="0097120D" w:rsidP="009D2DBE">
      <w:pPr>
        <w:pStyle w:val="Heading4"/>
      </w:pPr>
      <w:r w:rsidRPr="00844368">
        <w:rPr>
          <w:rStyle w:val="Strong"/>
          <w:rFonts w:eastAsiaTheme="majorEastAsia"/>
        </w:rPr>
        <w:t>Tourism Surge:</w:t>
      </w:r>
    </w:p>
    <w:p w14:paraId="4712C638" w14:textId="77777777" w:rsidR="0097120D" w:rsidRPr="00844368" w:rsidRDefault="0097120D" w:rsidP="00E644A9">
      <w:pPr>
        <w:pStyle w:val="NormalWeb"/>
        <w:numPr>
          <w:ilvl w:val="0"/>
          <w:numId w:val="42"/>
        </w:numPr>
        <w:jc w:val="both"/>
        <w:rPr>
          <w:sz w:val="20"/>
          <w:szCs w:val="20"/>
        </w:rPr>
      </w:pPr>
      <w:r w:rsidRPr="00844368">
        <w:rPr>
          <w:sz w:val="20"/>
          <w:szCs w:val="20"/>
        </w:rPr>
        <w:t>Approximately 309,000 international visitors arrived, contributing to the hospitality and service industries.</w:t>
      </w:r>
    </w:p>
    <w:p w14:paraId="364B2FEE" w14:textId="77777777" w:rsidR="0097120D" w:rsidRPr="00844368" w:rsidRDefault="0097120D" w:rsidP="00E644A9">
      <w:pPr>
        <w:pStyle w:val="NormalWeb"/>
        <w:numPr>
          <w:ilvl w:val="0"/>
          <w:numId w:val="42"/>
        </w:numPr>
        <w:jc w:val="both"/>
        <w:rPr>
          <w:sz w:val="20"/>
          <w:szCs w:val="20"/>
        </w:rPr>
      </w:pPr>
      <w:r w:rsidRPr="00844368">
        <w:rPr>
          <w:sz w:val="20"/>
          <w:szCs w:val="20"/>
        </w:rPr>
        <w:t xml:space="preserve">Visitors spent an average of $1,600, boosting local businesses and creating demand for auxiliary services (Swart &amp; </w:t>
      </w:r>
      <w:proofErr w:type="spellStart"/>
      <w:r w:rsidRPr="00844368">
        <w:rPr>
          <w:sz w:val="20"/>
          <w:szCs w:val="20"/>
        </w:rPr>
        <w:t>Bouah</w:t>
      </w:r>
      <w:proofErr w:type="spellEnd"/>
      <w:r w:rsidRPr="00844368">
        <w:rPr>
          <w:sz w:val="20"/>
          <w:szCs w:val="20"/>
        </w:rPr>
        <w:t>, 2024).</w:t>
      </w:r>
    </w:p>
    <w:p w14:paraId="7D7A9247" w14:textId="77777777" w:rsidR="0097120D" w:rsidRPr="009D2DBE" w:rsidRDefault="0097120D" w:rsidP="009D2DBE">
      <w:pPr>
        <w:pStyle w:val="Heading4"/>
        <w:rPr>
          <w:b/>
        </w:rPr>
      </w:pPr>
      <w:r w:rsidRPr="009D2DBE">
        <w:rPr>
          <w:rStyle w:val="Strong"/>
          <w:bCs w:val="0"/>
        </w:rPr>
        <w:t>Infrastructure Utilization:</w:t>
      </w:r>
    </w:p>
    <w:p w14:paraId="624A9F4F" w14:textId="77777777" w:rsidR="0097120D" w:rsidRPr="00844368" w:rsidRDefault="0097120D" w:rsidP="00E644A9">
      <w:pPr>
        <w:pStyle w:val="ListParagraph"/>
        <w:numPr>
          <w:ilvl w:val="0"/>
          <w:numId w:val="43"/>
        </w:numPr>
      </w:pPr>
      <w:r w:rsidRPr="009D2DBE">
        <w:t>Long-term benefits</w:t>
      </w:r>
      <w:r w:rsidRPr="00844368">
        <w:t xml:space="preserve"> included enhanced urban mobility (e.g., the Gautrain rail system) and increased capacity for hosting other events.</w:t>
      </w:r>
    </w:p>
    <w:p w14:paraId="63CE7ABB" w14:textId="77777777" w:rsidR="0097120D" w:rsidRPr="00844368" w:rsidRDefault="0097120D" w:rsidP="009D2DBE">
      <w:pPr>
        <w:pStyle w:val="Heading4"/>
      </w:pPr>
      <w:r w:rsidRPr="00844368">
        <w:rPr>
          <w:rStyle w:val="Strong"/>
          <w:rFonts w:eastAsiaTheme="majorEastAsia"/>
        </w:rPr>
        <w:t>Branding and Image:</w:t>
      </w:r>
    </w:p>
    <w:p w14:paraId="03473A65" w14:textId="319627D8" w:rsidR="0097120D" w:rsidRDefault="0097120D" w:rsidP="00E644A9">
      <w:pPr>
        <w:pStyle w:val="ListParagraph"/>
        <w:numPr>
          <w:ilvl w:val="0"/>
          <w:numId w:val="43"/>
        </w:numPr>
      </w:pPr>
      <w:r w:rsidRPr="00844368">
        <w:t>South Africa gained global recognition as a capable host, positively affecting trade and investment opportunities.</w:t>
      </w:r>
    </w:p>
    <w:p w14:paraId="6883530C" w14:textId="1BA5C3A3" w:rsidR="009D2DBE" w:rsidRDefault="009D2DBE" w:rsidP="009D2DBE">
      <w:pPr>
        <w:jc w:val="both"/>
      </w:pPr>
    </w:p>
    <w:p w14:paraId="414EFB23" w14:textId="0E054D07" w:rsidR="009D2DBE" w:rsidRDefault="009D2DBE" w:rsidP="009D2DBE">
      <w:pPr>
        <w:jc w:val="both"/>
      </w:pPr>
    </w:p>
    <w:p w14:paraId="7C68BAD0" w14:textId="58D3C362" w:rsidR="009D2DBE" w:rsidRDefault="009D2DBE" w:rsidP="009D2DBE">
      <w:pPr>
        <w:jc w:val="both"/>
      </w:pPr>
    </w:p>
    <w:p w14:paraId="4EFB7053" w14:textId="1F11054F" w:rsidR="009D2DBE" w:rsidRDefault="009D2DBE" w:rsidP="009D2DBE">
      <w:pPr>
        <w:jc w:val="both"/>
      </w:pPr>
    </w:p>
    <w:p w14:paraId="6B05636A" w14:textId="48C3D0CB" w:rsidR="009D2DBE" w:rsidRDefault="009D2DBE" w:rsidP="009D2DBE">
      <w:pPr>
        <w:jc w:val="both"/>
      </w:pPr>
    </w:p>
    <w:p w14:paraId="1B2DDC2E" w14:textId="4964A1C8" w:rsidR="009D2DBE" w:rsidRDefault="009D2DBE" w:rsidP="009D2DBE">
      <w:pPr>
        <w:jc w:val="both"/>
      </w:pPr>
    </w:p>
    <w:p w14:paraId="349F6407" w14:textId="61CD295F" w:rsidR="009D2DBE" w:rsidRDefault="009D2DBE" w:rsidP="009D2DBE">
      <w:pPr>
        <w:jc w:val="both"/>
      </w:pPr>
    </w:p>
    <w:p w14:paraId="16B910A2" w14:textId="54BFD8A3" w:rsidR="009D2DBE" w:rsidRDefault="009D2DBE" w:rsidP="009D2DBE">
      <w:pPr>
        <w:jc w:val="both"/>
      </w:pPr>
    </w:p>
    <w:p w14:paraId="5EE6D17C" w14:textId="57FF6DF1" w:rsidR="009D2DBE" w:rsidRDefault="009D2DBE" w:rsidP="009D2DBE">
      <w:pPr>
        <w:jc w:val="both"/>
      </w:pPr>
    </w:p>
    <w:p w14:paraId="7D29A5F7" w14:textId="41D0F8C1" w:rsidR="009D2DBE" w:rsidRDefault="009D2DBE" w:rsidP="009D2DBE">
      <w:pPr>
        <w:jc w:val="both"/>
      </w:pPr>
    </w:p>
    <w:p w14:paraId="08E3E00E" w14:textId="291727B1" w:rsidR="009D2DBE" w:rsidRDefault="009D2DBE" w:rsidP="009D2DBE">
      <w:pPr>
        <w:jc w:val="both"/>
      </w:pPr>
    </w:p>
    <w:p w14:paraId="785A8A63" w14:textId="447BF70B" w:rsidR="009D2DBE" w:rsidRDefault="009D2DBE" w:rsidP="009D2DBE">
      <w:pPr>
        <w:jc w:val="both"/>
      </w:pPr>
    </w:p>
    <w:p w14:paraId="62C13D3B" w14:textId="2A56F147" w:rsidR="009D2DBE" w:rsidRDefault="009D2DBE" w:rsidP="009D2DBE">
      <w:pPr>
        <w:jc w:val="both"/>
      </w:pPr>
    </w:p>
    <w:p w14:paraId="6472F966" w14:textId="2849C77A" w:rsidR="009D2DBE" w:rsidRPr="00844368" w:rsidRDefault="009D2DBE" w:rsidP="009D2DBE">
      <w:pPr>
        <w:pStyle w:val="tablehead"/>
        <w:jc w:val="both"/>
      </w:pPr>
      <w:r>
        <w:t>Challenges and Critisims</w:t>
      </w:r>
    </w:p>
    <w:p w14:paraId="1460CE34" w14:textId="77777777" w:rsidR="009D2DBE" w:rsidRDefault="009D2DBE" w:rsidP="009D2DBE">
      <w:pPr>
        <w:jc w:val="both"/>
        <w:rPr>
          <w:noProof/>
        </w:rPr>
      </w:pPr>
    </w:p>
    <w:p w14:paraId="02D560C4" w14:textId="60D365E6" w:rsidR="0097120D" w:rsidRDefault="0097120D" w:rsidP="009D2DBE">
      <w:pPr>
        <w:jc w:val="both"/>
      </w:pPr>
      <w:r w:rsidRPr="00844368">
        <w:rPr>
          <w:noProof/>
        </w:rPr>
        <w:drawing>
          <wp:inline distT="0" distB="0" distL="0" distR="0" wp14:anchorId="381047F7" wp14:editId="5007E1F9">
            <wp:extent cx="3339924" cy="2362200"/>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363463" cy="2378848"/>
                    </a:xfrm>
                    <a:prstGeom prst="rect">
                      <a:avLst/>
                    </a:prstGeom>
                  </pic:spPr>
                </pic:pic>
              </a:graphicData>
            </a:graphic>
          </wp:inline>
        </w:drawing>
      </w:r>
    </w:p>
    <w:p w14:paraId="28F90D8F" w14:textId="77777777" w:rsidR="009D2DBE" w:rsidRPr="00844368" w:rsidRDefault="009D2DBE" w:rsidP="009D2DBE">
      <w:pPr>
        <w:jc w:val="both"/>
      </w:pPr>
    </w:p>
    <w:p w14:paraId="4EEE02CA" w14:textId="77777777" w:rsidR="0097120D" w:rsidRPr="00844368" w:rsidRDefault="0097120D" w:rsidP="009D2DBE">
      <w:pPr>
        <w:jc w:val="both"/>
      </w:pPr>
    </w:p>
    <w:p w14:paraId="1BEDD315" w14:textId="77777777" w:rsidR="0097120D" w:rsidRPr="00844368" w:rsidRDefault="0097120D" w:rsidP="009D2DBE">
      <w:pPr>
        <w:pStyle w:val="Heading5"/>
        <w:jc w:val="both"/>
      </w:pPr>
      <w:r w:rsidRPr="00844368">
        <w:rPr>
          <w:rStyle w:val="Strong"/>
          <w:b w:val="0"/>
          <w:bCs w:val="0"/>
        </w:rPr>
        <w:t>Summary of Findings</w:t>
      </w:r>
    </w:p>
    <w:p w14:paraId="0DC792FD" w14:textId="77777777" w:rsidR="0097120D" w:rsidRPr="00844368" w:rsidRDefault="0097120D" w:rsidP="009D2DBE">
      <w:pPr>
        <w:jc w:val="both"/>
      </w:pPr>
      <w:r w:rsidRPr="00844368">
        <w:t>The FIFA 2010 World Cup left a mixed economic legacy for South Africa. While the event generated significant short-term revenue and improved global branding, the long-term economic impacts, particularly for low-income communities, were less pronounced. The tournament underscored the potential and limitations of using mega-events as a catalyst for economic development in emerging economies.</w:t>
      </w:r>
    </w:p>
    <w:p w14:paraId="3C5EBCE4" w14:textId="77777777" w:rsidR="0097120D" w:rsidRPr="00844368" w:rsidRDefault="0097120D" w:rsidP="009D2DBE">
      <w:pPr>
        <w:jc w:val="both"/>
      </w:pPr>
      <w:r w:rsidRPr="00844368">
        <w:t>By focusing on sustained tourism, better integration of infrastructure into daily life, and equitable resource distribution, South Africa can maximize the benefits of such events in the future.</w:t>
      </w:r>
    </w:p>
    <w:p w14:paraId="19814D86" w14:textId="77777777" w:rsidR="0097120D" w:rsidRPr="00844368" w:rsidRDefault="0097120D" w:rsidP="009D2DBE">
      <w:pPr>
        <w:pStyle w:val="Heading5"/>
        <w:jc w:val="both"/>
      </w:pPr>
      <w:r w:rsidRPr="00844368">
        <w:rPr>
          <w:rStyle w:val="Strong"/>
          <w:b w:val="0"/>
          <w:bCs w:val="0"/>
        </w:rPr>
        <w:t>Graph: GDP Growth Trends Around 2010</w:t>
      </w:r>
    </w:p>
    <w:p w14:paraId="1087C73A" w14:textId="77777777" w:rsidR="0097120D" w:rsidRPr="00844368" w:rsidRDefault="0097120D" w:rsidP="009D2DBE">
      <w:pPr>
        <w:jc w:val="both"/>
      </w:pPr>
      <w:r w:rsidRPr="00844368">
        <w:t>The following graph illustrates South Africa's GDP growth rates from 2006 to 2012, highlighting the economic spike during the event year:</w:t>
      </w:r>
    </w:p>
    <w:p w14:paraId="43F2C2BA" w14:textId="2974F63D" w:rsidR="0097120D" w:rsidRDefault="0097120D" w:rsidP="0097120D">
      <w:pPr>
        <w:pStyle w:val="NormalWeb"/>
        <w:jc w:val="center"/>
        <w:rPr>
          <w:sz w:val="20"/>
          <w:szCs w:val="20"/>
        </w:rPr>
      </w:pPr>
      <w:r w:rsidRPr="00844368">
        <w:rPr>
          <w:noProof/>
          <w:sz w:val="20"/>
          <w:szCs w:val="20"/>
        </w:rPr>
        <w:drawing>
          <wp:inline distT="0" distB="0" distL="0" distR="0" wp14:anchorId="65747862" wp14:editId="1F263333">
            <wp:extent cx="3060704" cy="2456121"/>
            <wp:effectExtent l="0" t="0" r="6350" b="190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5885" cy="2476328"/>
                    </a:xfrm>
                    <a:prstGeom prst="rect">
                      <a:avLst/>
                    </a:prstGeom>
                  </pic:spPr>
                </pic:pic>
              </a:graphicData>
            </a:graphic>
          </wp:inline>
        </w:drawing>
      </w:r>
    </w:p>
    <w:p w14:paraId="2542A868" w14:textId="409EC76C" w:rsidR="00192D8B" w:rsidRPr="00844368" w:rsidRDefault="00192D8B" w:rsidP="00192D8B">
      <w:pPr>
        <w:pStyle w:val="figurecaption"/>
      </w:pPr>
      <w:r>
        <w:t>South Africa GDP Growth (2006-2012)</w:t>
      </w:r>
    </w:p>
    <w:p w14:paraId="071755C9" w14:textId="77777777" w:rsidR="00192D8B" w:rsidRPr="00844368" w:rsidRDefault="00192D8B" w:rsidP="0097120D">
      <w:pPr>
        <w:pStyle w:val="NormalWeb"/>
        <w:jc w:val="center"/>
        <w:rPr>
          <w:sz w:val="20"/>
          <w:szCs w:val="20"/>
        </w:rPr>
      </w:pPr>
    </w:p>
    <w:p w14:paraId="53253E6C" w14:textId="77777777" w:rsidR="0097120D" w:rsidRPr="00844368" w:rsidRDefault="0097120D" w:rsidP="0097120D">
      <w:pPr>
        <w:pStyle w:val="NormalWeb"/>
        <w:rPr>
          <w:sz w:val="20"/>
          <w:szCs w:val="20"/>
        </w:rPr>
      </w:pPr>
    </w:p>
    <w:p w14:paraId="56D8A1CE" w14:textId="77777777" w:rsidR="0097120D" w:rsidRPr="00844368" w:rsidRDefault="0097120D" w:rsidP="0097120D">
      <w:pPr>
        <w:pStyle w:val="NormalWeb"/>
        <w:rPr>
          <w:sz w:val="20"/>
          <w:szCs w:val="20"/>
        </w:rPr>
      </w:pPr>
    </w:p>
    <w:p w14:paraId="4FC43D3E" w14:textId="77777777" w:rsidR="0097120D" w:rsidRPr="00844368" w:rsidRDefault="0097120D" w:rsidP="009D2DBE">
      <w:pPr>
        <w:jc w:val="both"/>
      </w:pPr>
      <w:r w:rsidRPr="00844368">
        <w:t>The charts above illustrate key economic metrics for South Africa in the years following the FIFA 2010 World Cup:</w:t>
      </w:r>
    </w:p>
    <w:p w14:paraId="366E5275" w14:textId="77777777" w:rsidR="0097120D" w:rsidRPr="00844368" w:rsidRDefault="0097120D" w:rsidP="00E644A9">
      <w:pPr>
        <w:pStyle w:val="ListParagraph"/>
        <w:numPr>
          <w:ilvl w:val="0"/>
          <w:numId w:val="43"/>
        </w:numPr>
      </w:pPr>
      <w:r w:rsidRPr="00844368">
        <w:rPr>
          <w:rStyle w:val="Strong"/>
          <w:rFonts w:eastAsiaTheme="majorEastAsia"/>
        </w:rPr>
        <w:t>GDP Growth Rate:</w:t>
      </w:r>
      <w:r w:rsidRPr="00844368">
        <w:t xml:space="preserve"> The economy experienced a spike in 2010, reaching 5% growth due to the World Cup's influence. However, growth rates gradually declined post-event, reflecting global and domestic challenges.</w:t>
      </w:r>
    </w:p>
    <w:p w14:paraId="415E31AA" w14:textId="77777777" w:rsidR="0097120D" w:rsidRPr="00844368" w:rsidRDefault="0097120D" w:rsidP="00E644A9">
      <w:pPr>
        <w:pStyle w:val="ListParagraph"/>
        <w:numPr>
          <w:ilvl w:val="0"/>
          <w:numId w:val="43"/>
        </w:numPr>
      </w:pPr>
      <w:r w:rsidRPr="00844368">
        <w:rPr>
          <w:rStyle w:val="Strong"/>
          <w:rFonts w:eastAsiaTheme="majorEastAsia"/>
        </w:rPr>
        <w:t>Tourism Revenue:</w:t>
      </w:r>
      <w:r w:rsidRPr="00844368">
        <w:t xml:space="preserve"> Tourism surged to $13 billion in 2010 but stabilized around $10.4 billion by 2014. This shows a lasting, albeit reduced, benefit from the event's global branding of South Africa.</w:t>
      </w:r>
    </w:p>
    <w:p w14:paraId="55A41475" w14:textId="77777777" w:rsidR="0097120D" w:rsidRPr="00844368" w:rsidRDefault="0097120D" w:rsidP="00E644A9">
      <w:pPr>
        <w:pStyle w:val="ListParagraph"/>
        <w:numPr>
          <w:ilvl w:val="0"/>
          <w:numId w:val="43"/>
        </w:numPr>
      </w:pPr>
      <w:r w:rsidRPr="00844368">
        <w:rPr>
          <w:rStyle w:val="Strong"/>
          <w:rFonts w:eastAsiaTheme="majorEastAsia"/>
        </w:rPr>
        <w:t>Unemployment Rate:</w:t>
      </w:r>
      <w:r w:rsidRPr="00844368">
        <w:t xml:space="preserve"> Despite temporary job creation during the event, unemployment rates rose slightly from 24.7% in 2010 to 25.5% in 2014, highlighting the limited long-term employment impact.</w:t>
      </w:r>
    </w:p>
    <w:p w14:paraId="12B1B435" w14:textId="77777777" w:rsidR="0097120D" w:rsidRPr="00844368" w:rsidRDefault="0097120D" w:rsidP="009D2DBE">
      <w:pPr>
        <w:jc w:val="both"/>
      </w:pPr>
    </w:p>
    <w:p w14:paraId="465B17B7" w14:textId="77777777" w:rsidR="0097120D" w:rsidRPr="00844368" w:rsidRDefault="0097120D" w:rsidP="009D2DBE">
      <w:pPr>
        <w:jc w:val="both"/>
      </w:pPr>
      <w:r w:rsidRPr="00844368">
        <w:t>These figures and visualizations underscore the mixed economic legacy of the event.</w:t>
      </w:r>
    </w:p>
    <w:p w14:paraId="2FA9A5BE" w14:textId="77777777" w:rsidR="0097120D" w:rsidRPr="00844368" w:rsidRDefault="0097120D" w:rsidP="0097120D">
      <w:pPr>
        <w:pStyle w:val="NormalWeb"/>
        <w:rPr>
          <w:sz w:val="20"/>
          <w:szCs w:val="20"/>
        </w:rPr>
      </w:pPr>
    </w:p>
    <w:p w14:paraId="1A4830D5" w14:textId="77777777" w:rsidR="0097120D" w:rsidRPr="00844368" w:rsidRDefault="0097120D" w:rsidP="00192D8B">
      <w:pPr>
        <w:pStyle w:val="NormalWeb"/>
        <w:jc w:val="center"/>
        <w:rPr>
          <w:sz w:val="20"/>
          <w:szCs w:val="20"/>
        </w:rPr>
      </w:pPr>
      <w:r w:rsidRPr="00844368">
        <w:rPr>
          <w:noProof/>
          <w:sz w:val="20"/>
          <w:szCs w:val="20"/>
        </w:rPr>
        <w:drawing>
          <wp:inline distT="0" distB="0" distL="0" distR="0" wp14:anchorId="37CF3A1A" wp14:editId="751C9CCE">
            <wp:extent cx="3317358" cy="4650672"/>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8"/>
                    <a:srcRect r="50.617%"/>
                    <a:stretch/>
                  </pic:blipFill>
                  <pic:spPr bwMode="auto">
                    <a:xfrm>
                      <a:off x="0" y="0"/>
                      <a:ext cx="3353739" cy="4701675"/>
                    </a:xfrm>
                    <a:prstGeom prst="rect">
                      <a:avLst/>
                    </a:prstGeom>
                    <a:ln>
                      <a:noFill/>
                    </a:ln>
                    <a:extLst>
                      <a:ext uri="{53640926-AAD7-44D8-BBD7-CCE9431645EC}">
                        <a14:shadowObscured xmlns:a14="http://schemas.microsoft.com/office/drawing/2010/main"/>
                      </a:ext>
                    </a:extLst>
                  </pic:spPr>
                </pic:pic>
              </a:graphicData>
            </a:graphic>
          </wp:inline>
        </w:drawing>
      </w:r>
    </w:p>
    <w:p w14:paraId="327BAF18" w14:textId="594A42B1" w:rsidR="00192D8B" w:rsidRPr="00844368" w:rsidRDefault="00192D8B" w:rsidP="00192D8B">
      <w:pPr>
        <w:pStyle w:val="figurecaption"/>
      </w:pPr>
      <w:r>
        <w:lastRenderedPageBreak/>
        <w:t>South Africa Analysis</w:t>
      </w:r>
    </w:p>
    <w:p w14:paraId="5E8627CE" w14:textId="77777777" w:rsidR="0097120D" w:rsidRPr="00844368" w:rsidRDefault="0097120D" w:rsidP="0097120D">
      <w:pPr>
        <w:pStyle w:val="NormalWeb"/>
        <w:rPr>
          <w:sz w:val="20"/>
          <w:szCs w:val="20"/>
        </w:rPr>
      </w:pPr>
    </w:p>
    <w:p w14:paraId="2FE91332" w14:textId="1B923C3C" w:rsidR="00192D8B" w:rsidRDefault="00192D8B" w:rsidP="00192D8B">
      <w:r w:rsidRPr="00844368">
        <w:rPr>
          <w:noProof/>
        </w:rPr>
        <w:drawing>
          <wp:inline distT="0" distB="0" distL="0" distR="0" wp14:anchorId="541D7FD2" wp14:editId="472F4AB3">
            <wp:extent cx="3285461" cy="4448922"/>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8"/>
                    <a:srcRect l="48.873%"/>
                    <a:stretch/>
                  </pic:blipFill>
                  <pic:spPr bwMode="auto">
                    <a:xfrm>
                      <a:off x="0" y="0"/>
                      <a:ext cx="3297198" cy="4464816"/>
                    </a:xfrm>
                    <a:prstGeom prst="rect">
                      <a:avLst/>
                    </a:prstGeom>
                    <a:ln>
                      <a:noFill/>
                    </a:ln>
                    <a:extLst>
                      <a:ext uri="{53640926-AAD7-44D8-BBD7-CCE9431645EC}">
                        <a14:shadowObscured xmlns:a14="http://schemas.microsoft.com/office/drawing/2010/main"/>
                      </a:ext>
                    </a:extLst>
                  </pic:spPr>
                </pic:pic>
              </a:graphicData>
            </a:graphic>
          </wp:inline>
        </w:drawing>
      </w:r>
    </w:p>
    <w:p w14:paraId="5EFCB6AA" w14:textId="77777777" w:rsidR="00192D8B" w:rsidRDefault="00192D8B" w:rsidP="0097120D"/>
    <w:p w14:paraId="5BB1EE2A" w14:textId="7C5188DE" w:rsidR="0097120D" w:rsidRPr="00844368" w:rsidRDefault="0097120D" w:rsidP="00192D8B">
      <w:pPr>
        <w:jc w:val="both"/>
      </w:pPr>
      <w:r w:rsidRPr="00844368">
        <w:t>These visualizations provide a deeper analysis of South Africa's economic conditions after hosting the FIFA 2010 World Cup:</w:t>
      </w:r>
    </w:p>
    <w:p w14:paraId="540AA36A" w14:textId="77777777" w:rsidR="0097120D" w:rsidRPr="00844368" w:rsidRDefault="0097120D" w:rsidP="00E644A9">
      <w:pPr>
        <w:pStyle w:val="ListParagraph"/>
        <w:numPr>
          <w:ilvl w:val="0"/>
          <w:numId w:val="44"/>
        </w:numPr>
      </w:pPr>
      <w:r w:rsidRPr="00844368">
        <w:rPr>
          <w:rStyle w:val="Strong"/>
          <w:rFonts w:eastAsiaTheme="majorEastAsia"/>
        </w:rPr>
        <w:t>GDP Growth Rate:</w:t>
      </w:r>
      <w:r w:rsidRPr="00844368">
        <w:t xml:space="preserve"> The spike in 2010 highlights the short-term economic boost, but the decline in subsequent years reflects challenges in sustaining growth post-event.</w:t>
      </w:r>
    </w:p>
    <w:p w14:paraId="372BF166" w14:textId="77777777" w:rsidR="0097120D" w:rsidRPr="00844368" w:rsidRDefault="0097120D" w:rsidP="00E644A9">
      <w:pPr>
        <w:pStyle w:val="ListParagraph"/>
        <w:numPr>
          <w:ilvl w:val="0"/>
          <w:numId w:val="44"/>
        </w:numPr>
      </w:pPr>
      <w:r w:rsidRPr="00844368">
        <w:rPr>
          <w:rStyle w:val="Strong"/>
          <w:rFonts w:eastAsiaTheme="majorEastAsia"/>
        </w:rPr>
        <w:t>Tourism Revenue:</w:t>
      </w:r>
      <w:r w:rsidRPr="00844368">
        <w:t xml:space="preserve"> Tourism peaked during the World Cup but saw a gradual decline, stabilizing around $10.4 billion by 2014.</w:t>
      </w:r>
    </w:p>
    <w:p w14:paraId="2BD8B25E" w14:textId="77777777" w:rsidR="0097120D" w:rsidRPr="00844368" w:rsidRDefault="0097120D" w:rsidP="00E644A9">
      <w:pPr>
        <w:pStyle w:val="ListParagraph"/>
        <w:numPr>
          <w:ilvl w:val="0"/>
          <w:numId w:val="44"/>
        </w:numPr>
      </w:pPr>
      <w:r w:rsidRPr="00844368">
        <w:rPr>
          <w:rStyle w:val="Strong"/>
          <w:rFonts w:eastAsiaTheme="majorEastAsia"/>
        </w:rPr>
        <w:t>Unemployment Rate:</w:t>
      </w:r>
      <w:r w:rsidRPr="00844368">
        <w:t xml:space="preserve"> Despite temporary job creation, unemployment rates continued to climb, underlining the event's limited impact on long-term employment.</w:t>
      </w:r>
    </w:p>
    <w:p w14:paraId="333F9199" w14:textId="77777777" w:rsidR="0097120D" w:rsidRPr="00844368" w:rsidRDefault="0097120D" w:rsidP="00E644A9">
      <w:pPr>
        <w:pStyle w:val="ListParagraph"/>
        <w:numPr>
          <w:ilvl w:val="0"/>
          <w:numId w:val="44"/>
        </w:numPr>
      </w:pPr>
      <w:r w:rsidRPr="00844368">
        <w:rPr>
          <w:rStyle w:val="Strong"/>
          <w:rFonts w:eastAsiaTheme="majorEastAsia"/>
        </w:rPr>
        <w:t>Public Debt as % of GDP:</w:t>
      </w:r>
      <w:r w:rsidRPr="00844368">
        <w:t xml:space="preserve"> A steady rise in public debt shows the financial burden of infrastructure investments and other costs associated with the event.</w:t>
      </w:r>
    </w:p>
    <w:p w14:paraId="28C15F11" w14:textId="77777777" w:rsidR="0097120D" w:rsidRPr="00844368" w:rsidRDefault="0097120D" w:rsidP="00E644A9">
      <w:pPr>
        <w:pStyle w:val="ListParagraph"/>
        <w:numPr>
          <w:ilvl w:val="0"/>
          <w:numId w:val="44"/>
        </w:numPr>
      </w:pPr>
      <w:r w:rsidRPr="00844368">
        <w:rPr>
          <w:rStyle w:val="Strong"/>
          <w:rFonts w:eastAsiaTheme="majorEastAsia"/>
        </w:rPr>
        <w:t>Infrastructure Spending:</w:t>
      </w:r>
      <w:r w:rsidRPr="00844368">
        <w:t xml:space="preserve"> Investment peaked in 2010 at $3.6 billion but significantly reduced in subsequent years, indicating the completion of World Cup-related projects.</w:t>
      </w:r>
    </w:p>
    <w:p w14:paraId="5CDCCED5" w14:textId="509DE395" w:rsidR="0097120D" w:rsidRPr="00844368" w:rsidRDefault="0097120D" w:rsidP="00E644A9">
      <w:pPr>
        <w:pStyle w:val="ListParagraph"/>
        <w:numPr>
          <w:ilvl w:val="0"/>
          <w:numId w:val="44"/>
        </w:numPr>
      </w:pPr>
      <w:r w:rsidRPr="00844368">
        <w:rPr>
          <w:rStyle w:val="Strong"/>
          <w:rFonts w:eastAsiaTheme="majorEastAsia"/>
        </w:rPr>
        <w:t>Economic Trends Overview:</w:t>
      </w:r>
      <w:r w:rsidRPr="00844368">
        <w:t xml:space="preserve"> The combined trends show a mixed legacy of the event, with temporary </w:t>
      </w:r>
      <w:r w:rsidRPr="00844368">
        <w:t>boosts in GDP and tourism contrasted by rising unemployment and debt.</w:t>
      </w:r>
    </w:p>
    <w:p w14:paraId="1DF797EC" w14:textId="77777777" w:rsidR="0097120D" w:rsidRPr="00844368" w:rsidRDefault="0097120D" w:rsidP="00192D8B">
      <w:pPr>
        <w:pStyle w:val="Heading5"/>
        <w:jc w:val="both"/>
      </w:pPr>
      <w:r w:rsidRPr="00844368">
        <w:rPr>
          <w:rStyle w:val="Strong"/>
          <w:b w:val="0"/>
          <w:bCs w:val="0"/>
        </w:rPr>
        <w:t>Concluding Insights</w:t>
      </w:r>
    </w:p>
    <w:p w14:paraId="3E8C0AB5" w14:textId="77777777" w:rsidR="0097120D" w:rsidRPr="00844368" w:rsidRDefault="0097120D" w:rsidP="00192D8B">
      <w:pPr>
        <w:jc w:val="both"/>
      </w:pPr>
      <w:r w:rsidRPr="00844368">
        <w:t>The FIFA 2010 World Cup served as a landmark event for South Africa, showcasing its ability to host global mega-events and bringing significant short-term economic benefits. However, the long-term economic legacy is nuanced. While infrastructure improvements and increased tourism branding were evident, the challenges of rising public debt, sustained unemployment, and underutilized facilities remain pressing.</w:t>
      </w:r>
    </w:p>
    <w:p w14:paraId="1D8390A8" w14:textId="11460859" w:rsidR="0097120D" w:rsidRDefault="0097120D" w:rsidP="00192D8B">
      <w:pPr>
        <w:jc w:val="both"/>
      </w:pPr>
      <w:r w:rsidRPr="00844368">
        <w:t xml:space="preserve">Key lessons from the event highlight the need for strategic planning to ensure that mega-events provide sustainable and inclusive economic benefits. For future </w:t>
      </w:r>
      <w:r w:rsidR="00192D8B" w:rsidRPr="00844368">
        <w:t>endeavors</w:t>
      </w:r>
      <w:r w:rsidRPr="00844368">
        <w:t>, South Africa must integrate mega-event planning into broader development frameworks to address socio-economic disparities and maximize long-term impacts.</w:t>
      </w:r>
    </w:p>
    <w:p w14:paraId="46BB0092" w14:textId="77777777" w:rsidR="00192D8B" w:rsidRPr="00844368" w:rsidRDefault="00192D8B" w:rsidP="00192D8B">
      <w:pPr>
        <w:jc w:val="both"/>
      </w:pPr>
    </w:p>
    <w:p w14:paraId="5B513AC5" w14:textId="77777777" w:rsidR="0097120D" w:rsidRPr="00844368" w:rsidRDefault="0097120D" w:rsidP="0097120D">
      <w:pPr>
        <w:jc w:val="end"/>
      </w:pPr>
      <w:r w:rsidRPr="00844368">
        <w:rPr>
          <w:noProof/>
        </w:rPr>
        <w:drawing>
          <wp:inline distT="0" distB="0" distL="0" distR="0" wp14:anchorId="01F0F07D" wp14:editId="3BB4B14D">
            <wp:extent cx="3217697" cy="1956391"/>
            <wp:effectExtent l="0" t="0" r="1905" b="635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249876" cy="1975956"/>
                    </a:xfrm>
                    <a:prstGeom prst="rect">
                      <a:avLst/>
                    </a:prstGeom>
                  </pic:spPr>
                </pic:pic>
              </a:graphicData>
            </a:graphic>
          </wp:inline>
        </w:drawing>
      </w:r>
    </w:p>
    <w:p w14:paraId="7C406D67" w14:textId="7B9D56C7" w:rsidR="00192D8B" w:rsidRPr="00844368" w:rsidRDefault="00192D8B" w:rsidP="00192D8B">
      <w:pPr>
        <w:pStyle w:val="figurecaption"/>
      </w:pPr>
      <w:r>
        <w:t>Economic Impact of South Africa’s FIFA 2010 Hosting</w:t>
      </w:r>
    </w:p>
    <w:p w14:paraId="56488B2E" w14:textId="77777777" w:rsidR="0097120D" w:rsidRPr="00844368" w:rsidRDefault="0097120D" w:rsidP="0097120D">
      <w:pPr>
        <w:pStyle w:val="NormalWeb"/>
        <w:pBdr>
          <w:bottom w:val="single" w:sz="6" w:space="1" w:color="auto"/>
        </w:pBdr>
        <w:rPr>
          <w:sz w:val="20"/>
          <w:szCs w:val="20"/>
        </w:rPr>
      </w:pPr>
    </w:p>
    <w:p w14:paraId="27825044" w14:textId="77777777" w:rsidR="00192D8B" w:rsidRPr="00844368" w:rsidRDefault="00192D8B" w:rsidP="00192D8B"/>
    <w:p w14:paraId="4D4E06B0" w14:textId="77777777" w:rsidR="00192D8B" w:rsidRPr="00844368" w:rsidRDefault="00192D8B" w:rsidP="00192D8B">
      <w:pPr>
        <w:pStyle w:val="Heading2"/>
      </w:pPr>
      <w:r w:rsidRPr="00844368">
        <w:t>Economic Impact of Japan's FIFA 2002 Hosting: Before and After</w:t>
      </w:r>
    </w:p>
    <w:p w14:paraId="45635A70" w14:textId="77777777" w:rsidR="00192D8B" w:rsidRPr="00844368" w:rsidRDefault="00192D8B" w:rsidP="006E54C3">
      <w:pPr>
        <w:jc w:val="both"/>
      </w:pPr>
      <w:r w:rsidRPr="00844368">
        <w:t>Japan co-hosted the FIFA World Cup in 2002 alongside South Korea, marking the first time the event was held in Asia. This landmark event aimed to stimulate regional economies, enhance Japan's international branding, and leverage infrastructure development for long-term growth. Below, we explore the economic effects before and after hosting the tournament, supported by data and analyses from scholarly sources.</w:t>
      </w:r>
    </w:p>
    <w:p w14:paraId="0F9165FD" w14:textId="77777777" w:rsidR="00192D8B" w:rsidRPr="00844368" w:rsidRDefault="00192D8B" w:rsidP="006E54C3">
      <w:pPr>
        <w:jc w:val="both"/>
      </w:pPr>
    </w:p>
    <w:p w14:paraId="5E71F032" w14:textId="77777777" w:rsidR="00192D8B" w:rsidRPr="0097120D" w:rsidRDefault="00192D8B" w:rsidP="006E54C3">
      <w:pPr>
        <w:pStyle w:val="tablehead"/>
        <w:jc w:val="both"/>
      </w:pPr>
      <w:r>
        <w:t>Economic Conditions before Hosting</w:t>
      </w:r>
    </w:p>
    <w:p w14:paraId="6C26F664" w14:textId="77777777" w:rsidR="00192D8B" w:rsidRPr="00844368" w:rsidRDefault="00192D8B" w:rsidP="006E54C3">
      <w:pPr>
        <w:jc w:val="both"/>
        <w:rPr>
          <w:i/>
          <w:u w:val="single"/>
        </w:rPr>
      </w:pPr>
    </w:p>
    <w:tbl>
      <w:tblPr>
        <w:tblStyle w:val="TableGrid"/>
        <w:tblW w:w="0pt" w:type="dxa"/>
        <w:jc w:val="center"/>
        <w:tblBorders>
          <w:start w:val="none" w:sz="0" w:space="0" w:color="auto"/>
          <w:end w:val="none" w:sz="0" w:space="0" w:color="auto"/>
          <w:insideV w:val="none" w:sz="0" w:space="0" w:color="auto"/>
        </w:tblBorders>
        <w:tblLook w:firstRow="1" w:lastRow="0" w:firstColumn="1" w:lastColumn="0" w:noHBand="0" w:noVBand="1"/>
      </w:tblPr>
      <w:tblGrid>
        <w:gridCol w:w="1942"/>
        <w:gridCol w:w="1039"/>
        <w:gridCol w:w="1885"/>
      </w:tblGrid>
      <w:tr w:rsidR="00192D8B" w:rsidRPr="00844368" w14:paraId="37FE474F" w14:textId="77777777" w:rsidTr="00E86CFE">
        <w:trPr>
          <w:jc w:val="center"/>
        </w:trPr>
        <w:tc>
          <w:tcPr>
            <w:tcW w:w="138.70pt" w:type="dxa"/>
            <w:tcBorders>
              <w:top w:val="single" w:sz="12" w:space="0" w:color="auto"/>
              <w:bottom w:val="single" w:sz="12" w:space="0" w:color="auto"/>
            </w:tcBorders>
          </w:tcPr>
          <w:p w14:paraId="2DC7597C"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Metrics</w:t>
            </w:r>
          </w:p>
        </w:tc>
        <w:tc>
          <w:tcPr>
            <w:tcW w:w="75.05pt" w:type="dxa"/>
            <w:tcBorders>
              <w:top w:val="single" w:sz="12" w:space="0" w:color="auto"/>
              <w:bottom w:val="single" w:sz="12" w:space="0" w:color="auto"/>
            </w:tcBorders>
          </w:tcPr>
          <w:p w14:paraId="53C0A6F6"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Value</w:t>
            </w:r>
          </w:p>
        </w:tc>
        <w:tc>
          <w:tcPr>
            <w:tcW w:w="176.10pt" w:type="dxa"/>
            <w:tcBorders>
              <w:top w:val="single" w:sz="12" w:space="0" w:color="auto"/>
              <w:bottom w:val="single" w:sz="12" w:space="0" w:color="auto"/>
            </w:tcBorders>
          </w:tcPr>
          <w:p w14:paraId="20D21F0F"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Source</w:t>
            </w:r>
          </w:p>
        </w:tc>
      </w:tr>
      <w:tr w:rsidR="00192D8B" w:rsidRPr="00844368" w14:paraId="0C73DDCC" w14:textId="77777777" w:rsidTr="00E86CFE">
        <w:trPr>
          <w:jc w:val="center"/>
        </w:trPr>
        <w:tc>
          <w:tcPr>
            <w:tcW w:w="138.70pt" w:type="dxa"/>
            <w:tcBorders>
              <w:top w:val="single" w:sz="12" w:space="0" w:color="auto"/>
              <w:bottom w:val="nil"/>
            </w:tcBorders>
          </w:tcPr>
          <w:p w14:paraId="310278C4"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GDP Growth Rate (1998-2001)</w:t>
            </w:r>
          </w:p>
        </w:tc>
        <w:tc>
          <w:tcPr>
            <w:tcW w:w="75.05pt" w:type="dxa"/>
            <w:tcBorders>
              <w:top w:val="single" w:sz="12" w:space="0" w:color="auto"/>
              <w:bottom w:val="nil"/>
            </w:tcBorders>
          </w:tcPr>
          <w:p w14:paraId="46DFD397"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0.1%-1.5%</w:t>
            </w:r>
          </w:p>
        </w:tc>
        <w:tc>
          <w:tcPr>
            <w:tcW w:w="176.10pt" w:type="dxa"/>
            <w:tcBorders>
              <w:top w:val="single" w:sz="12" w:space="0" w:color="auto"/>
              <w:bottom w:val="nil"/>
            </w:tcBorders>
          </w:tcPr>
          <w:p w14:paraId="13C52046"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World Bank</w:t>
            </w:r>
          </w:p>
        </w:tc>
      </w:tr>
      <w:tr w:rsidR="00192D8B" w:rsidRPr="00844368" w14:paraId="28FFE793" w14:textId="77777777" w:rsidTr="00E86CFE">
        <w:trPr>
          <w:jc w:val="center"/>
        </w:trPr>
        <w:tc>
          <w:tcPr>
            <w:tcW w:w="138.70pt" w:type="dxa"/>
            <w:tcBorders>
              <w:top w:val="nil"/>
              <w:bottom w:val="nil"/>
            </w:tcBorders>
          </w:tcPr>
          <w:p w14:paraId="54108FB5"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Unemployment Rate</w:t>
            </w:r>
          </w:p>
        </w:tc>
        <w:tc>
          <w:tcPr>
            <w:tcW w:w="75.05pt" w:type="dxa"/>
            <w:tcBorders>
              <w:top w:val="nil"/>
              <w:bottom w:val="nil"/>
            </w:tcBorders>
          </w:tcPr>
          <w:p w14:paraId="1A66003A"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~5.4%</w:t>
            </w:r>
          </w:p>
        </w:tc>
        <w:tc>
          <w:tcPr>
            <w:tcW w:w="176.10pt" w:type="dxa"/>
            <w:tcBorders>
              <w:top w:val="nil"/>
              <w:bottom w:val="nil"/>
            </w:tcBorders>
          </w:tcPr>
          <w:p w14:paraId="56237302"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Japan Statistics Bureau</w:t>
            </w:r>
          </w:p>
        </w:tc>
      </w:tr>
      <w:tr w:rsidR="00192D8B" w:rsidRPr="00844368" w14:paraId="123A2B6E" w14:textId="77777777" w:rsidTr="00E86CFE">
        <w:trPr>
          <w:jc w:val="center"/>
        </w:trPr>
        <w:tc>
          <w:tcPr>
            <w:tcW w:w="138.70pt" w:type="dxa"/>
            <w:tcBorders>
              <w:top w:val="nil"/>
              <w:bottom w:val="single" w:sz="12" w:space="0" w:color="auto"/>
            </w:tcBorders>
          </w:tcPr>
          <w:p w14:paraId="7C63AFB1"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Total Investment in Event</w:t>
            </w:r>
          </w:p>
        </w:tc>
        <w:tc>
          <w:tcPr>
            <w:tcW w:w="75.05pt" w:type="dxa"/>
            <w:tcBorders>
              <w:top w:val="nil"/>
              <w:bottom w:val="single" w:sz="12" w:space="0" w:color="auto"/>
            </w:tcBorders>
          </w:tcPr>
          <w:p w14:paraId="17580979"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$5 Billion</w:t>
            </w:r>
          </w:p>
        </w:tc>
        <w:tc>
          <w:tcPr>
            <w:tcW w:w="176.10pt" w:type="dxa"/>
            <w:tcBorders>
              <w:top w:val="nil"/>
              <w:bottom w:val="single" w:sz="12" w:space="0" w:color="auto"/>
            </w:tcBorders>
          </w:tcPr>
          <w:p w14:paraId="2770174A"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FIFA World Cup Report, 2002</w:t>
            </w:r>
          </w:p>
        </w:tc>
      </w:tr>
    </w:tbl>
    <w:p w14:paraId="5CA0E19E" w14:textId="77777777" w:rsidR="00192D8B" w:rsidRPr="00844368" w:rsidRDefault="00192D8B" w:rsidP="006E54C3">
      <w:pPr>
        <w:jc w:val="both"/>
      </w:pPr>
    </w:p>
    <w:p w14:paraId="22FC4F41" w14:textId="77777777" w:rsidR="00192D8B" w:rsidRPr="00844368" w:rsidRDefault="00192D8B" w:rsidP="006E54C3">
      <w:pPr>
        <w:pStyle w:val="Heading5"/>
        <w:jc w:val="both"/>
      </w:pPr>
      <w:r w:rsidRPr="00844368">
        <w:rPr>
          <w:rStyle w:val="Strong"/>
          <w:b w:val="0"/>
          <w:bCs w:val="0"/>
        </w:rPr>
        <w:lastRenderedPageBreak/>
        <w:t>Key Preparations:</w:t>
      </w:r>
    </w:p>
    <w:p w14:paraId="6F290200" w14:textId="77777777" w:rsidR="00655F7C" w:rsidRDefault="00192D8B" w:rsidP="006E54C3">
      <w:pPr>
        <w:pStyle w:val="Heading4"/>
      </w:pPr>
      <w:r w:rsidRPr="00844368">
        <w:rPr>
          <w:rStyle w:val="Strong"/>
          <w:rFonts w:eastAsiaTheme="majorEastAsia"/>
        </w:rPr>
        <w:t>Infrastructure Development:</w:t>
      </w:r>
      <w:r w:rsidRPr="00844368">
        <w:t xml:space="preserve"> </w:t>
      </w:r>
    </w:p>
    <w:p w14:paraId="447936D2" w14:textId="2502955E" w:rsidR="00192D8B" w:rsidRPr="00655F7C" w:rsidRDefault="00192D8B" w:rsidP="006E54C3">
      <w:pPr>
        <w:pStyle w:val="Heading4"/>
        <w:numPr>
          <w:ilvl w:val="0"/>
          <w:numId w:val="0"/>
        </w:numPr>
        <w:ind w:start="25.20pt"/>
        <w:rPr>
          <w:i w:val="0"/>
        </w:rPr>
      </w:pPr>
      <w:r w:rsidRPr="00655F7C">
        <w:rPr>
          <w:i w:val="0"/>
        </w:rPr>
        <w:t>Japan invested heavily in building state-of-the-art stadiums, upgrading transportation networks, and ensuring advanced technological infrastructure for event operations.</w:t>
      </w:r>
    </w:p>
    <w:p w14:paraId="6BB58A3A" w14:textId="77777777" w:rsidR="00655F7C" w:rsidRDefault="00192D8B" w:rsidP="006E54C3">
      <w:pPr>
        <w:pStyle w:val="Heading4"/>
      </w:pPr>
      <w:r w:rsidRPr="00844368">
        <w:rPr>
          <w:rStyle w:val="Strong"/>
          <w:rFonts w:eastAsiaTheme="majorEastAsia"/>
        </w:rPr>
        <w:t>Tourism Promotion:</w:t>
      </w:r>
      <w:r w:rsidRPr="00844368">
        <w:t xml:space="preserve"> </w:t>
      </w:r>
    </w:p>
    <w:p w14:paraId="1983469A" w14:textId="2E84D659" w:rsidR="00192D8B" w:rsidRPr="00655F7C" w:rsidRDefault="00192D8B" w:rsidP="006E54C3">
      <w:pPr>
        <w:pStyle w:val="Heading4"/>
        <w:numPr>
          <w:ilvl w:val="0"/>
          <w:numId w:val="0"/>
        </w:numPr>
        <w:ind w:start="25.20pt"/>
        <w:rPr>
          <w:i w:val="0"/>
        </w:rPr>
      </w:pPr>
      <w:r w:rsidRPr="00655F7C">
        <w:rPr>
          <w:i w:val="0"/>
        </w:rPr>
        <w:t>Extensive marketing campaigns targeted global audiences to boost inbound tourism.</w:t>
      </w:r>
    </w:p>
    <w:p w14:paraId="72EC0BCB" w14:textId="36372B7A" w:rsidR="00655F7C" w:rsidRPr="00655F7C" w:rsidRDefault="00655F7C" w:rsidP="00E644A9">
      <w:pPr>
        <w:pStyle w:val="tablehead"/>
        <w:jc w:val="both"/>
      </w:pPr>
      <w:r>
        <w:t>Post Economic Impact</w:t>
      </w:r>
    </w:p>
    <w:p w14:paraId="300FF34C" w14:textId="77777777" w:rsidR="00655F7C" w:rsidRDefault="00655F7C" w:rsidP="006E54C3">
      <w:pPr>
        <w:jc w:val="both"/>
        <w:rPr>
          <w:i/>
          <w:u w:val="single"/>
        </w:rPr>
      </w:pPr>
    </w:p>
    <w:tbl>
      <w:tblPr>
        <w:tblStyle w:val="TableGrid"/>
        <w:tblW w:w="261pt" w:type="dxa"/>
        <w:tblBorders>
          <w:start w:val="none" w:sz="0" w:space="0" w:color="auto"/>
          <w:end w:val="none" w:sz="0" w:space="0" w:color="auto"/>
          <w:insideV w:val="none" w:sz="0" w:space="0" w:color="auto"/>
        </w:tblBorders>
        <w:tblLayout w:type="fixed"/>
        <w:tblLook w:firstRow="1" w:lastRow="0" w:firstColumn="1" w:lastColumn="0" w:noHBand="0" w:noVBand="1"/>
      </w:tblPr>
      <w:tblGrid>
        <w:gridCol w:w="810"/>
        <w:gridCol w:w="990"/>
        <w:gridCol w:w="1170"/>
        <w:gridCol w:w="1080"/>
        <w:gridCol w:w="1170"/>
      </w:tblGrid>
      <w:tr w:rsidR="00192D8B" w:rsidRPr="00844368" w14:paraId="7D297455" w14:textId="77777777" w:rsidTr="00E86CFE">
        <w:trPr>
          <w:trHeight w:val="527"/>
        </w:trPr>
        <w:tc>
          <w:tcPr>
            <w:tcW w:w="40.50pt" w:type="dxa"/>
            <w:tcBorders>
              <w:top w:val="single" w:sz="12" w:space="0" w:color="auto"/>
              <w:bottom w:val="single" w:sz="12" w:space="0" w:color="auto"/>
            </w:tcBorders>
          </w:tcPr>
          <w:p w14:paraId="4581BC88" w14:textId="77777777" w:rsidR="00192D8B" w:rsidRPr="00844368" w:rsidRDefault="00192D8B" w:rsidP="006E54C3">
            <w:pPr>
              <w:jc w:val="both"/>
              <w:rPr>
                <w:rFonts w:ascii="Times New Roman" w:hAnsi="Times New Roman" w:cs="Times New Roman"/>
                <w:i/>
                <w:sz w:val="20"/>
                <w:szCs w:val="20"/>
              </w:rPr>
            </w:pPr>
            <w:bookmarkStart w:id="2" w:name="_Hlk185499114"/>
            <w:r w:rsidRPr="00844368">
              <w:rPr>
                <w:rFonts w:ascii="Times New Roman" w:hAnsi="Times New Roman" w:cs="Times New Roman"/>
                <w:i/>
                <w:sz w:val="20"/>
                <w:szCs w:val="20"/>
              </w:rPr>
              <w:t>Category</w:t>
            </w:r>
          </w:p>
        </w:tc>
        <w:tc>
          <w:tcPr>
            <w:tcW w:w="49.50pt" w:type="dxa"/>
            <w:tcBorders>
              <w:top w:val="single" w:sz="12" w:space="0" w:color="auto"/>
              <w:bottom w:val="single" w:sz="12" w:space="0" w:color="auto"/>
            </w:tcBorders>
          </w:tcPr>
          <w:p w14:paraId="1D2A9449"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Pre-Event (2001)</w:t>
            </w:r>
          </w:p>
        </w:tc>
        <w:tc>
          <w:tcPr>
            <w:tcW w:w="58.50pt" w:type="dxa"/>
            <w:tcBorders>
              <w:top w:val="single" w:sz="12" w:space="0" w:color="auto"/>
              <w:bottom w:val="single" w:sz="12" w:space="0" w:color="auto"/>
            </w:tcBorders>
          </w:tcPr>
          <w:p w14:paraId="0587770F"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During Event (2002)</w:t>
            </w:r>
          </w:p>
        </w:tc>
        <w:tc>
          <w:tcPr>
            <w:tcW w:w="54pt" w:type="dxa"/>
            <w:tcBorders>
              <w:top w:val="single" w:sz="12" w:space="0" w:color="auto"/>
              <w:bottom w:val="single" w:sz="12" w:space="0" w:color="auto"/>
            </w:tcBorders>
          </w:tcPr>
          <w:p w14:paraId="38EF3951"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Post-Event (2003-2005)</w:t>
            </w:r>
          </w:p>
        </w:tc>
        <w:tc>
          <w:tcPr>
            <w:tcW w:w="58.50pt" w:type="dxa"/>
            <w:tcBorders>
              <w:top w:val="single" w:sz="12" w:space="0" w:color="auto"/>
              <w:bottom w:val="single" w:sz="12" w:space="0" w:color="auto"/>
            </w:tcBorders>
          </w:tcPr>
          <w:p w14:paraId="4C769B1D" w14:textId="77777777" w:rsidR="00192D8B" w:rsidRPr="00844368" w:rsidRDefault="00192D8B" w:rsidP="006E54C3">
            <w:pPr>
              <w:jc w:val="both"/>
              <w:rPr>
                <w:rFonts w:ascii="Times New Roman" w:hAnsi="Times New Roman" w:cs="Times New Roman"/>
                <w:i/>
                <w:sz w:val="20"/>
                <w:szCs w:val="20"/>
              </w:rPr>
            </w:pPr>
            <w:r w:rsidRPr="00844368">
              <w:rPr>
                <w:rFonts w:ascii="Times New Roman" w:hAnsi="Times New Roman" w:cs="Times New Roman"/>
                <w:i/>
                <w:sz w:val="20"/>
                <w:szCs w:val="20"/>
              </w:rPr>
              <w:t>Source</w:t>
            </w:r>
          </w:p>
        </w:tc>
      </w:tr>
      <w:tr w:rsidR="00192D8B" w:rsidRPr="00844368" w14:paraId="2CC40FBF" w14:textId="77777777" w:rsidTr="00E86CFE">
        <w:trPr>
          <w:trHeight w:val="543"/>
        </w:trPr>
        <w:tc>
          <w:tcPr>
            <w:tcW w:w="40.50pt" w:type="dxa"/>
            <w:tcBorders>
              <w:top w:val="single" w:sz="12" w:space="0" w:color="auto"/>
              <w:bottom w:val="nil"/>
            </w:tcBorders>
          </w:tcPr>
          <w:p w14:paraId="3A60E80D"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Tourism Revenue</w:t>
            </w:r>
          </w:p>
        </w:tc>
        <w:tc>
          <w:tcPr>
            <w:tcW w:w="49.50pt" w:type="dxa"/>
            <w:tcBorders>
              <w:top w:val="single" w:sz="12" w:space="0" w:color="auto"/>
              <w:bottom w:val="nil"/>
            </w:tcBorders>
          </w:tcPr>
          <w:p w14:paraId="32B30846"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$8.8 Billion</w:t>
            </w:r>
          </w:p>
        </w:tc>
        <w:tc>
          <w:tcPr>
            <w:tcW w:w="58.50pt" w:type="dxa"/>
            <w:tcBorders>
              <w:top w:val="single" w:sz="12" w:space="0" w:color="auto"/>
              <w:bottom w:val="nil"/>
            </w:tcBorders>
          </w:tcPr>
          <w:p w14:paraId="19513F32"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$17 Billion</w:t>
            </w:r>
          </w:p>
        </w:tc>
        <w:tc>
          <w:tcPr>
            <w:tcW w:w="54pt" w:type="dxa"/>
            <w:tcBorders>
              <w:top w:val="single" w:sz="12" w:space="0" w:color="auto"/>
              <w:bottom w:val="nil"/>
            </w:tcBorders>
          </w:tcPr>
          <w:p w14:paraId="5CF22BDE"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$15 Billion</w:t>
            </w:r>
          </w:p>
        </w:tc>
        <w:tc>
          <w:tcPr>
            <w:tcW w:w="58.50pt" w:type="dxa"/>
            <w:tcBorders>
              <w:top w:val="single" w:sz="12" w:space="0" w:color="auto"/>
              <w:bottom w:val="nil"/>
            </w:tcBorders>
          </w:tcPr>
          <w:p w14:paraId="5189C128"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Mortada, 2024</w:t>
            </w:r>
          </w:p>
        </w:tc>
      </w:tr>
      <w:tr w:rsidR="00192D8B" w:rsidRPr="00844368" w14:paraId="3082B519" w14:textId="77777777" w:rsidTr="00E86CFE">
        <w:trPr>
          <w:trHeight w:val="527"/>
        </w:trPr>
        <w:tc>
          <w:tcPr>
            <w:tcW w:w="40.50pt" w:type="dxa"/>
            <w:tcBorders>
              <w:top w:val="nil"/>
              <w:bottom w:val="nil"/>
            </w:tcBorders>
          </w:tcPr>
          <w:p w14:paraId="789CE1A8"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Job Creation</w:t>
            </w:r>
          </w:p>
        </w:tc>
        <w:tc>
          <w:tcPr>
            <w:tcW w:w="49.50pt" w:type="dxa"/>
            <w:tcBorders>
              <w:top w:val="nil"/>
              <w:bottom w:val="nil"/>
            </w:tcBorders>
          </w:tcPr>
          <w:p w14:paraId="3589F0FA"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~200,000(temporary)</w:t>
            </w:r>
          </w:p>
        </w:tc>
        <w:tc>
          <w:tcPr>
            <w:tcW w:w="58.50pt" w:type="dxa"/>
            <w:tcBorders>
              <w:top w:val="nil"/>
              <w:bottom w:val="nil"/>
            </w:tcBorders>
          </w:tcPr>
          <w:p w14:paraId="07EE85E8"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~300,000(temporary)</w:t>
            </w:r>
          </w:p>
        </w:tc>
        <w:tc>
          <w:tcPr>
            <w:tcW w:w="54pt" w:type="dxa"/>
            <w:tcBorders>
              <w:top w:val="nil"/>
              <w:bottom w:val="nil"/>
            </w:tcBorders>
          </w:tcPr>
          <w:p w14:paraId="6493DC03"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~50,000(Sustained)</w:t>
            </w:r>
          </w:p>
        </w:tc>
        <w:tc>
          <w:tcPr>
            <w:tcW w:w="58.50pt" w:type="dxa"/>
            <w:tcBorders>
              <w:top w:val="nil"/>
              <w:bottom w:val="nil"/>
            </w:tcBorders>
          </w:tcPr>
          <w:p w14:paraId="176C4AEA"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Coetzee, 2024</w:t>
            </w:r>
          </w:p>
        </w:tc>
      </w:tr>
      <w:tr w:rsidR="00192D8B" w:rsidRPr="00844368" w14:paraId="1F14687A" w14:textId="77777777" w:rsidTr="00E86CFE">
        <w:trPr>
          <w:trHeight w:val="807"/>
        </w:trPr>
        <w:tc>
          <w:tcPr>
            <w:tcW w:w="40.50pt" w:type="dxa"/>
            <w:tcBorders>
              <w:top w:val="nil"/>
              <w:bottom w:val="single" w:sz="12" w:space="0" w:color="auto"/>
            </w:tcBorders>
          </w:tcPr>
          <w:p w14:paraId="216A3B81"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GDP Contribution</w:t>
            </w:r>
          </w:p>
        </w:tc>
        <w:tc>
          <w:tcPr>
            <w:tcW w:w="49.50pt" w:type="dxa"/>
            <w:tcBorders>
              <w:top w:val="nil"/>
              <w:bottom w:val="single" w:sz="12" w:space="0" w:color="auto"/>
            </w:tcBorders>
          </w:tcPr>
          <w:p w14:paraId="037978EB"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1.5% increase</w:t>
            </w:r>
          </w:p>
        </w:tc>
        <w:tc>
          <w:tcPr>
            <w:tcW w:w="58.50pt" w:type="dxa"/>
            <w:tcBorders>
              <w:top w:val="nil"/>
              <w:bottom w:val="single" w:sz="12" w:space="0" w:color="auto"/>
            </w:tcBorders>
          </w:tcPr>
          <w:p w14:paraId="6620738F"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3% increase</w:t>
            </w:r>
          </w:p>
        </w:tc>
        <w:tc>
          <w:tcPr>
            <w:tcW w:w="54pt" w:type="dxa"/>
            <w:tcBorders>
              <w:top w:val="nil"/>
              <w:bottom w:val="single" w:sz="12" w:space="0" w:color="auto"/>
            </w:tcBorders>
          </w:tcPr>
          <w:p w14:paraId="05FE2AE4"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Stabilized to ~2% growth</w:t>
            </w:r>
          </w:p>
        </w:tc>
        <w:tc>
          <w:tcPr>
            <w:tcW w:w="58.50pt" w:type="dxa"/>
            <w:tcBorders>
              <w:top w:val="nil"/>
              <w:bottom w:val="single" w:sz="12" w:space="0" w:color="auto"/>
            </w:tcBorders>
          </w:tcPr>
          <w:p w14:paraId="02C01C90" w14:textId="77777777" w:rsidR="00192D8B" w:rsidRPr="00844368" w:rsidRDefault="00192D8B" w:rsidP="006E54C3">
            <w:pPr>
              <w:jc w:val="both"/>
              <w:rPr>
                <w:rFonts w:ascii="Times New Roman" w:hAnsi="Times New Roman" w:cs="Times New Roman"/>
                <w:sz w:val="20"/>
                <w:szCs w:val="20"/>
              </w:rPr>
            </w:pPr>
            <w:r w:rsidRPr="00844368">
              <w:rPr>
                <w:rFonts w:ascii="Times New Roman" w:hAnsi="Times New Roman" w:cs="Times New Roman"/>
                <w:sz w:val="20"/>
                <w:szCs w:val="20"/>
              </w:rPr>
              <w:t xml:space="preserve">Swart &amp; </w:t>
            </w:r>
            <w:proofErr w:type="spellStart"/>
            <w:r w:rsidRPr="00844368">
              <w:rPr>
                <w:rFonts w:ascii="Times New Roman" w:hAnsi="Times New Roman" w:cs="Times New Roman"/>
                <w:sz w:val="20"/>
                <w:szCs w:val="20"/>
              </w:rPr>
              <w:t>Bouah</w:t>
            </w:r>
            <w:proofErr w:type="spellEnd"/>
            <w:r w:rsidRPr="00844368">
              <w:rPr>
                <w:rFonts w:ascii="Times New Roman" w:hAnsi="Times New Roman" w:cs="Times New Roman"/>
                <w:sz w:val="20"/>
                <w:szCs w:val="20"/>
              </w:rPr>
              <w:t>, 2024</w:t>
            </w:r>
          </w:p>
        </w:tc>
      </w:tr>
      <w:bookmarkEnd w:id="2"/>
    </w:tbl>
    <w:p w14:paraId="097E1895" w14:textId="77777777" w:rsidR="00192D8B" w:rsidRDefault="00192D8B" w:rsidP="006E54C3">
      <w:pPr>
        <w:jc w:val="both"/>
        <w:rPr>
          <w:i/>
          <w:u w:val="single"/>
        </w:rPr>
      </w:pPr>
    </w:p>
    <w:p w14:paraId="51CCE1EC" w14:textId="77777777" w:rsidR="00192D8B" w:rsidRPr="00844368" w:rsidRDefault="00192D8B" w:rsidP="006E54C3">
      <w:pPr>
        <w:jc w:val="both"/>
      </w:pPr>
    </w:p>
    <w:p w14:paraId="3C03F2ED" w14:textId="77777777" w:rsidR="00192D8B" w:rsidRPr="00844368" w:rsidRDefault="00192D8B" w:rsidP="006E54C3">
      <w:pPr>
        <w:pStyle w:val="Heading5"/>
        <w:jc w:val="both"/>
      </w:pPr>
      <w:r w:rsidRPr="00844368">
        <w:rPr>
          <w:rStyle w:val="Strong"/>
          <w:b w:val="0"/>
          <w:bCs w:val="0"/>
        </w:rPr>
        <w:t>Detailed Insights:</w:t>
      </w:r>
    </w:p>
    <w:p w14:paraId="7E8B3FEA" w14:textId="77777777" w:rsidR="00192D8B" w:rsidRPr="00844368" w:rsidRDefault="00192D8B" w:rsidP="006E54C3">
      <w:pPr>
        <w:pStyle w:val="Heading4"/>
      </w:pPr>
      <w:r w:rsidRPr="00844368">
        <w:rPr>
          <w:rStyle w:val="Strong"/>
          <w:rFonts w:eastAsiaTheme="majorEastAsia"/>
        </w:rPr>
        <w:t>Tourism Surge:</w:t>
      </w:r>
    </w:p>
    <w:p w14:paraId="3F2001B3" w14:textId="77777777" w:rsidR="00192D8B" w:rsidRPr="00844368" w:rsidRDefault="00192D8B" w:rsidP="00E644A9">
      <w:pPr>
        <w:pStyle w:val="ListParagraph"/>
        <w:numPr>
          <w:ilvl w:val="0"/>
          <w:numId w:val="47"/>
        </w:numPr>
      </w:pPr>
      <w:r w:rsidRPr="00844368">
        <w:t>The event attracted over 700,000 international visitors to Japan, significantly boosting the hospitality and service industries.</w:t>
      </w:r>
    </w:p>
    <w:p w14:paraId="49EDF616" w14:textId="77777777" w:rsidR="00192D8B" w:rsidRPr="00844368" w:rsidRDefault="00192D8B" w:rsidP="00E644A9">
      <w:pPr>
        <w:pStyle w:val="ListParagraph"/>
        <w:numPr>
          <w:ilvl w:val="0"/>
          <w:numId w:val="47"/>
        </w:numPr>
      </w:pPr>
      <w:r w:rsidRPr="00844368">
        <w:t>Visitors spent an average of $2,200, benefiting local businesses and creating demand for additional services.</w:t>
      </w:r>
    </w:p>
    <w:p w14:paraId="49067D76" w14:textId="77777777" w:rsidR="00192D8B" w:rsidRPr="00844368" w:rsidRDefault="00192D8B" w:rsidP="006E54C3">
      <w:pPr>
        <w:pStyle w:val="Heading4"/>
      </w:pPr>
      <w:r w:rsidRPr="00844368">
        <w:rPr>
          <w:rStyle w:val="Strong"/>
          <w:rFonts w:eastAsiaTheme="majorEastAsia"/>
        </w:rPr>
        <w:t>Infrastructure Utilization:</w:t>
      </w:r>
    </w:p>
    <w:p w14:paraId="1907FF0C" w14:textId="77777777" w:rsidR="00192D8B" w:rsidRPr="00844368" w:rsidRDefault="00192D8B" w:rsidP="00E644A9">
      <w:pPr>
        <w:pStyle w:val="NormalWeb"/>
        <w:numPr>
          <w:ilvl w:val="1"/>
          <w:numId w:val="48"/>
        </w:numPr>
        <w:jc w:val="both"/>
        <w:rPr>
          <w:sz w:val="20"/>
          <w:szCs w:val="20"/>
        </w:rPr>
      </w:pPr>
      <w:r w:rsidRPr="00844368">
        <w:rPr>
          <w:sz w:val="20"/>
          <w:szCs w:val="20"/>
        </w:rPr>
        <w:t>Key facilities, such as the Yokohama International Stadium, became hubs for domestic sports and entertainment events.</w:t>
      </w:r>
    </w:p>
    <w:p w14:paraId="62D02767" w14:textId="77777777" w:rsidR="00192D8B" w:rsidRPr="00844368" w:rsidRDefault="00192D8B" w:rsidP="00E644A9">
      <w:pPr>
        <w:pStyle w:val="NormalWeb"/>
        <w:numPr>
          <w:ilvl w:val="1"/>
          <w:numId w:val="48"/>
        </w:numPr>
        <w:jc w:val="both"/>
        <w:rPr>
          <w:sz w:val="20"/>
          <w:szCs w:val="20"/>
        </w:rPr>
      </w:pPr>
      <w:r w:rsidRPr="00844368">
        <w:rPr>
          <w:sz w:val="20"/>
          <w:szCs w:val="20"/>
        </w:rPr>
        <w:t>Investments in transportation and technology enhanced Japan's global reputation as a leader in efficient infrastructure.</w:t>
      </w:r>
    </w:p>
    <w:p w14:paraId="66849586" w14:textId="77777777" w:rsidR="00192D8B" w:rsidRPr="00844368" w:rsidRDefault="00192D8B" w:rsidP="006E54C3">
      <w:pPr>
        <w:pStyle w:val="Heading4"/>
      </w:pPr>
      <w:r w:rsidRPr="00844368">
        <w:rPr>
          <w:rStyle w:val="Strong"/>
          <w:rFonts w:eastAsiaTheme="majorEastAsia"/>
        </w:rPr>
        <w:t>Branding and Image:</w:t>
      </w:r>
    </w:p>
    <w:p w14:paraId="0769203B" w14:textId="77777777" w:rsidR="00192D8B" w:rsidRPr="00844368" w:rsidRDefault="00192D8B" w:rsidP="00E644A9">
      <w:pPr>
        <w:pStyle w:val="NormalWeb"/>
        <w:numPr>
          <w:ilvl w:val="1"/>
          <w:numId w:val="49"/>
        </w:numPr>
        <w:jc w:val="both"/>
        <w:rPr>
          <w:sz w:val="20"/>
          <w:szCs w:val="20"/>
        </w:rPr>
      </w:pPr>
      <w:r w:rsidRPr="00844368">
        <w:rPr>
          <w:sz w:val="20"/>
          <w:szCs w:val="20"/>
        </w:rPr>
        <w:t>Co-hosting with South Korea enhanced Japan's international profile, promoting cultural exchange and regional collaboration.</w:t>
      </w:r>
    </w:p>
    <w:p w14:paraId="67063626" w14:textId="491F163E" w:rsidR="00192D8B" w:rsidRDefault="00192D8B" w:rsidP="006E54C3">
      <w:pPr>
        <w:jc w:val="both"/>
      </w:pPr>
    </w:p>
    <w:p w14:paraId="00389193" w14:textId="77777777" w:rsidR="00655F7C" w:rsidRPr="00844368" w:rsidRDefault="00655F7C" w:rsidP="006E54C3">
      <w:pPr>
        <w:pStyle w:val="tablehead"/>
        <w:jc w:val="both"/>
      </w:pPr>
      <w:r>
        <w:t>Challenges and Critisims</w:t>
      </w:r>
    </w:p>
    <w:p w14:paraId="48A5158D" w14:textId="77777777" w:rsidR="00655F7C" w:rsidRPr="00844368" w:rsidRDefault="00655F7C" w:rsidP="006E54C3">
      <w:pPr>
        <w:jc w:val="both"/>
      </w:pPr>
    </w:p>
    <w:p w14:paraId="74582AEA" w14:textId="77777777" w:rsidR="00192D8B" w:rsidRPr="00844368" w:rsidRDefault="00192D8B" w:rsidP="006E54C3">
      <w:pPr>
        <w:jc w:val="both"/>
      </w:pPr>
      <w:r w:rsidRPr="00844368">
        <w:rPr>
          <w:noProof/>
        </w:rPr>
        <w:drawing>
          <wp:inline distT="0" distB="0" distL="0" distR="0" wp14:anchorId="516AE81B" wp14:editId="12A27B42">
            <wp:extent cx="3260564" cy="1584251"/>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277252" cy="1592359"/>
                    </a:xfrm>
                    <a:prstGeom prst="rect">
                      <a:avLst/>
                    </a:prstGeom>
                  </pic:spPr>
                </pic:pic>
              </a:graphicData>
            </a:graphic>
          </wp:inline>
        </w:drawing>
      </w:r>
    </w:p>
    <w:p w14:paraId="75734E69" w14:textId="77777777" w:rsidR="00192D8B" w:rsidRPr="00844368" w:rsidRDefault="00192D8B" w:rsidP="006E54C3">
      <w:pPr>
        <w:pStyle w:val="Heading2"/>
        <w:numPr>
          <w:ilvl w:val="0"/>
          <w:numId w:val="0"/>
        </w:numPr>
        <w:jc w:val="both"/>
      </w:pPr>
    </w:p>
    <w:p w14:paraId="639418A4" w14:textId="77777777" w:rsidR="00192D8B" w:rsidRPr="00844368" w:rsidRDefault="00192D8B" w:rsidP="006E54C3">
      <w:pPr>
        <w:pStyle w:val="Heading5"/>
        <w:jc w:val="both"/>
      </w:pPr>
      <w:r w:rsidRPr="00844368">
        <w:rPr>
          <w:rStyle w:val="Strong"/>
          <w:b w:val="0"/>
          <w:bCs w:val="0"/>
        </w:rPr>
        <w:t>Summary of Findings</w:t>
      </w:r>
    </w:p>
    <w:p w14:paraId="43822737" w14:textId="77777777" w:rsidR="00192D8B" w:rsidRPr="00844368" w:rsidRDefault="00192D8B" w:rsidP="006E54C3">
      <w:pPr>
        <w:jc w:val="both"/>
      </w:pPr>
      <w:r w:rsidRPr="00844368">
        <w:t>The FIFA 2002 World Cup co-hosted by Japan left a mixed legacy. The event generated substantial short-term economic benefits, including increased tourism revenue, temporary job creation, and improved infrastructure. However, the long-term impacts were less pronounced, with challenges in sustaining job growth and fully utilizing event-specific infrastructure.</w:t>
      </w:r>
    </w:p>
    <w:p w14:paraId="73274870" w14:textId="77777777" w:rsidR="00192D8B" w:rsidRPr="00844368" w:rsidRDefault="00192D8B" w:rsidP="006E54C3">
      <w:pPr>
        <w:jc w:val="both"/>
      </w:pPr>
      <w:r w:rsidRPr="00844368">
        <w:t>By integrating lessons from this event into future planning, Japan can ensure that large-scale events contribute to long-term economic development and social benefits.</w:t>
      </w:r>
    </w:p>
    <w:p w14:paraId="4512DA43" w14:textId="77777777" w:rsidR="00192D8B" w:rsidRPr="00844368" w:rsidRDefault="00192D8B" w:rsidP="006E54C3">
      <w:pPr>
        <w:pStyle w:val="NormalWeb"/>
        <w:jc w:val="both"/>
        <w:rPr>
          <w:sz w:val="20"/>
          <w:szCs w:val="20"/>
        </w:rPr>
      </w:pPr>
    </w:p>
    <w:p w14:paraId="7F4C13A1" w14:textId="77777777" w:rsidR="00192D8B" w:rsidRPr="00844368" w:rsidRDefault="00192D8B" w:rsidP="006E54C3">
      <w:pPr>
        <w:pStyle w:val="Heading5"/>
        <w:jc w:val="both"/>
      </w:pPr>
      <w:r w:rsidRPr="00844368">
        <w:rPr>
          <w:rStyle w:val="Strong"/>
          <w:b w:val="0"/>
          <w:bCs w:val="0"/>
        </w:rPr>
        <w:t>Graph: Economic Trends Post-2002</w:t>
      </w:r>
    </w:p>
    <w:p w14:paraId="2499F8C8" w14:textId="77777777" w:rsidR="00192D8B" w:rsidRPr="00844368" w:rsidRDefault="00192D8B" w:rsidP="006E54C3">
      <w:pPr>
        <w:pStyle w:val="NormalWeb"/>
        <w:jc w:val="both"/>
        <w:rPr>
          <w:sz w:val="20"/>
          <w:szCs w:val="20"/>
        </w:rPr>
      </w:pPr>
      <w:r w:rsidRPr="00844368">
        <w:rPr>
          <w:sz w:val="20"/>
          <w:szCs w:val="20"/>
        </w:rPr>
        <w:t>The following graphs illustrate Japan's economic metrics after the FIFA 2002 World Cup:</w:t>
      </w:r>
    </w:p>
    <w:p w14:paraId="41E9DCB5" w14:textId="77777777" w:rsidR="00192D8B" w:rsidRPr="00844368" w:rsidRDefault="00192D8B" w:rsidP="00E644A9">
      <w:pPr>
        <w:pStyle w:val="NormalWeb"/>
        <w:numPr>
          <w:ilvl w:val="0"/>
          <w:numId w:val="45"/>
        </w:numPr>
        <w:jc w:val="both"/>
        <w:rPr>
          <w:sz w:val="20"/>
          <w:szCs w:val="20"/>
        </w:rPr>
      </w:pPr>
      <w:r w:rsidRPr="00844368">
        <w:rPr>
          <w:rStyle w:val="Strong"/>
          <w:rFonts w:eastAsiaTheme="majorEastAsia"/>
          <w:sz w:val="20"/>
          <w:szCs w:val="20"/>
        </w:rPr>
        <w:t>GDP Growth Rate:</w:t>
      </w:r>
      <w:r w:rsidRPr="00844368">
        <w:rPr>
          <w:sz w:val="20"/>
          <w:szCs w:val="20"/>
        </w:rPr>
        <w:t xml:space="preserve"> The economy experienced a brief spike in 2002 (3%), followed by stabilization at around 2% growth.</w:t>
      </w:r>
    </w:p>
    <w:p w14:paraId="43C4F39B" w14:textId="77777777" w:rsidR="00192D8B" w:rsidRPr="00844368" w:rsidRDefault="00192D8B" w:rsidP="00E644A9">
      <w:pPr>
        <w:pStyle w:val="NormalWeb"/>
        <w:numPr>
          <w:ilvl w:val="0"/>
          <w:numId w:val="45"/>
        </w:numPr>
        <w:jc w:val="both"/>
        <w:rPr>
          <w:sz w:val="20"/>
          <w:szCs w:val="20"/>
        </w:rPr>
      </w:pPr>
      <w:r w:rsidRPr="00844368">
        <w:rPr>
          <w:rStyle w:val="Strong"/>
          <w:rFonts w:eastAsiaTheme="majorEastAsia"/>
          <w:sz w:val="20"/>
          <w:szCs w:val="20"/>
        </w:rPr>
        <w:t>Tourism Revenue:</w:t>
      </w:r>
      <w:r w:rsidRPr="00844368">
        <w:rPr>
          <w:sz w:val="20"/>
          <w:szCs w:val="20"/>
        </w:rPr>
        <w:t xml:space="preserve"> Peaked at $17 billion during the event, gradually stabilizing to $15 billion.</w:t>
      </w:r>
    </w:p>
    <w:p w14:paraId="75C251B4" w14:textId="77777777" w:rsidR="00192D8B" w:rsidRPr="00844368" w:rsidRDefault="00192D8B" w:rsidP="00E644A9">
      <w:pPr>
        <w:pStyle w:val="NormalWeb"/>
        <w:numPr>
          <w:ilvl w:val="0"/>
          <w:numId w:val="45"/>
        </w:numPr>
        <w:jc w:val="both"/>
        <w:rPr>
          <w:sz w:val="20"/>
          <w:szCs w:val="20"/>
        </w:rPr>
      </w:pPr>
      <w:r w:rsidRPr="00844368">
        <w:rPr>
          <w:rStyle w:val="Strong"/>
          <w:rFonts w:eastAsiaTheme="majorEastAsia"/>
          <w:sz w:val="20"/>
          <w:szCs w:val="20"/>
        </w:rPr>
        <w:t>Unemployment Rate:</w:t>
      </w:r>
      <w:r w:rsidRPr="00844368">
        <w:rPr>
          <w:sz w:val="20"/>
          <w:szCs w:val="20"/>
        </w:rPr>
        <w:t xml:space="preserve"> Temporary job creation during the event had limited impact on long-term unemployment rates, which remained around 5%.</w:t>
      </w:r>
    </w:p>
    <w:p w14:paraId="3AC562C6" w14:textId="77777777" w:rsidR="00192D8B" w:rsidRPr="00844368" w:rsidRDefault="00192D8B" w:rsidP="00E644A9">
      <w:pPr>
        <w:pStyle w:val="NormalWeb"/>
        <w:numPr>
          <w:ilvl w:val="0"/>
          <w:numId w:val="45"/>
        </w:numPr>
        <w:jc w:val="both"/>
        <w:rPr>
          <w:sz w:val="20"/>
          <w:szCs w:val="20"/>
        </w:rPr>
      </w:pPr>
      <w:r w:rsidRPr="00844368">
        <w:rPr>
          <w:rStyle w:val="Strong"/>
          <w:rFonts w:eastAsiaTheme="majorEastAsia"/>
          <w:sz w:val="20"/>
          <w:szCs w:val="20"/>
        </w:rPr>
        <w:t>Public Debt:</w:t>
      </w:r>
      <w:r w:rsidRPr="00844368">
        <w:rPr>
          <w:sz w:val="20"/>
          <w:szCs w:val="20"/>
        </w:rPr>
        <w:t xml:space="preserve"> Increased due to event-related expenditures, reflecting the financial burden of hosting mega-events.</w:t>
      </w:r>
    </w:p>
    <w:p w14:paraId="416B0D7D" w14:textId="77777777" w:rsidR="00192D8B" w:rsidRPr="00844368" w:rsidRDefault="00192D8B" w:rsidP="00E644A9">
      <w:pPr>
        <w:pStyle w:val="NormalWeb"/>
        <w:numPr>
          <w:ilvl w:val="0"/>
          <w:numId w:val="45"/>
        </w:numPr>
        <w:jc w:val="both"/>
        <w:rPr>
          <w:sz w:val="20"/>
          <w:szCs w:val="20"/>
        </w:rPr>
      </w:pPr>
      <w:r w:rsidRPr="00844368">
        <w:rPr>
          <w:rStyle w:val="Strong"/>
          <w:rFonts w:eastAsiaTheme="majorEastAsia"/>
          <w:sz w:val="20"/>
          <w:szCs w:val="20"/>
        </w:rPr>
        <w:t>Infrastructure Spending:</w:t>
      </w:r>
      <w:r w:rsidRPr="00844368">
        <w:rPr>
          <w:sz w:val="20"/>
          <w:szCs w:val="20"/>
        </w:rPr>
        <w:t xml:space="preserve"> Investments peaked in 2002 but declined post-event as major projects were completed.</w:t>
      </w:r>
    </w:p>
    <w:p w14:paraId="5584E4CE" w14:textId="77777777" w:rsidR="00655F7C" w:rsidRDefault="00655F7C" w:rsidP="006E54C3">
      <w:pPr>
        <w:pStyle w:val="NormalWeb"/>
        <w:jc w:val="both"/>
        <w:rPr>
          <w:noProof/>
          <w:sz w:val="20"/>
          <w:szCs w:val="20"/>
        </w:rPr>
      </w:pPr>
    </w:p>
    <w:p w14:paraId="42F139CB" w14:textId="00A5D625" w:rsidR="00192D8B" w:rsidRPr="00844368" w:rsidRDefault="00192D8B" w:rsidP="006E54C3">
      <w:pPr>
        <w:pStyle w:val="NormalWeb"/>
        <w:jc w:val="both"/>
        <w:rPr>
          <w:sz w:val="20"/>
          <w:szCs w:val="20"/>
        </w:rPr>
      </w:pPr>
      <w:r w:rsidRPr="00844368">
        <w:rPr>
          <w:noProof/>
          <w:sz w:val="20"/>
          <w:szCs w:val="20"/>
        </w:rPr>
        <w:lastRenderedPageBreak/>
        <w:drawing>
          <wp:inline distT="0" distB="0" distL="0" distR="0" wp14:anchorId="664256AC" wp14:editId="669E3016">
            <wp:extent cx="3152775" cy="2456180"/>
            <wp:effectExtent l="0" t="0" r="9525" b="127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174060" cy="2472762"/>
                    </a:xfrm>
                    <a:prstGeom prst="rect">
                      <a:avLst/>
                    </a:prstGeom>
                  </pic:spPr>
                </pic:pic>
              </a:graphicData>
            </a:graphic>
          </wp:inline>
        </w:drawing>
      </w:r>
    </w:p>
    <w:p w14:paraId="43654C4F" w14:textId="0D075B71" w:rsidR="00655F7C" w:rsidRPr="00844368" w:rsidRDefault="006E54C3" w:rsidP="006E54C3">
      <w:pPr>
        <w:pStyle w:val="figurecaption"/>
      </w:pPr>
      <w:r>
        <w:t>Japan</w:t>
      </w:r>
      <w:r w:rsidR="00655F7C">
        <w:t xml:space="preserve"> GDP Growth (</w:t>
      </w:r>
      <w:r>
        <w:t>1998</w:t>
      </w:r>
      <w:r w:rsidR="00655F7C">
        <w:t>-20</w:t>
      </w:r>
      <w:r>
        <w:t>05</w:t>
      </w:r>
      <w:r w:rsidR="00655F7C">
        <w:t>)</w:t>
      </w:r>
    </w:p>
    <w:p w14:paraId="15FF3D6E" w14:textId="77777777" w:rsidR="00655F7C" w:rsidRDefault="00655F7C" w:rsidP="006E54C3">
      <w:pPr>
        <w:jc w:val="both"/>
        <w:rPr>
          <w:noProof/>
        </w:rPr>
      </w:pPr>
    </w:p>
    <w:p w14:paraId="01FC340B" w14:textId="77777777" w:rsidR="00655F7C" w:rsidRDefault="00655F7C" w:rsidP="006E54C3">
      <w:pPr>
        <w:jc w:val="both"/>
      </w:pPr>
    </w:p>
    <w:p w14:paraId="3B43023A" w14:textId="7BE45776" w:rsidR="00192D8B" w:rsidRPr="00844368" w:rsidRDefault="00192D8B" w:rsidP="006E54C3">
      <w:pPr>
        <w:jc w:val="both"/>
      </w:pPr>
      <w:r w:rsidRPr="00844368">
        <w:rPr>
          <w:noProof/>
        </w:rPr>
        <w:drawing>
          <wp:inline distT="0" distB="0" distL="0" distR="0" wp14:anchorId="2229FFAE" wp14:editId="2860CB95">
            <wp:extent cx="3152775" cy="4902835"/>
            <wp:effectExtent l="0" t="0" r="952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2"/>
                    <a:srcRect l="0.773%" r="50.099%"/>
                    <a:stretch/>
                  </pic:blipFill>
                  <pic:spPr bwMode="auto">
                    <a:xfrm>
                      <a:off x="0" y="0"/>
                      <a:ext cx="3186369" cy="4955077"/>
                    </a:xfrm>
                    <a:prstGeom prst="rect">
                      <a:avLst/>
                    </a:prstGeom>
                    <a:ln>
                      <a:noFill/>
                    </a:ln>
                    <a:extLst>
                      <a:ext uri="{53640926-AAD7-44D8-BBD7-CCE9431645EC}">
                        <a14:shadowObscured xmlns:a14="http://schemas.microsoft.com/office/drawing/2010/main"/>
                      </a:ext>
                    </a:extLst>
                  </pic:spPr>
                </pic:pic>
              </a:graphicData>
            </a:graphic>
          </wp:inline>
        </w:drawing>
      </w:r>
    </w:p>
    <w:p w14:paraId="675C96EF" w14:textId="77777777" w:rsidR="006E54C3" w:rsidRDefault="006E54C3" w:rsidP="006E54C3">
      <w:pPr>
        <w:jc w:val="both"/>
      </w:pPr>
    </w:p>
    <w:p w14:paraId="22040D7C" w14:textId="77777777" w:rsidR="006E54C3" w:rsidRDefault="006E54C3" w:rsidP="006E54C3">
      <w:pPr>
        <w:jc w:val="both"/>
      </w:pPr>
    </w:p>
    <w:p w14:paraId="668ABBA3" w14:textId="3FCF2792" w:rsidR="006E54C3" w:rsidRDefault="006A0F8F" w:rsidP="006E54C3">
      <w:pPr>
        <w:jc w:val="both"/>
      </w:pPr>
      <w:r w:rsidRPr="006A0F8F">
        <w:rPr>
          <w:noProof/>
        </w:rPr>
        <w:drawing>
          <wp:inline distT="0" distB="0" distL="0" distR="0" wp14:anchorId="092DECED" wp14:editId="628E7DDD">
            <wp:extent cx="3089910" cy="447929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089910" cy="4479290"/>
                    </a:xfrm>
                    <a:prstGeom prst="rect">
                      <a:avLst/>
                    </a:prstGeom>
                  </pic:spPr>
                </pic:pic>
              </a:graphicData>
            </a:graphic>
          </wp:inline>
        </w:drawing>
      </w:r>
    </w:p>
    <w:p w14:paraId="0D1255CD" w14:textId="77777777" w:rsidR="006E54C3" w:rsidRDefault="006E54C3" w:rsidP="006E54C3">
      <w:pPr>
        <w:jc w:val="both"/>
      </w:pPr>
    </w:p>
    <w:p w14:paraId="04825085" w14:textId="3C60EC27" w:rsidR="006E54C3" w:rsidRPr="00844368" w:rsidRDefault="006E54C3" w:rsidP="006E54C3">
      <w:pPr>
        <w:pStyle w:val="figurecaption"/>
      </w:pPr>
      <w:r>
        <w:t>Japan Analysis</w:t>
      </w:r>
    </w:p>
    <w:p w14:paraId="253ADE37" w14:textId="77777777" w:rsidR="006E54C3" w:rsidRDefault="006E54C3" w:rsidP="006E54C3">
      <w:pPr>
        <w:jc w:val="both"/>
      </w:pPr>
    </w:p>
    <w:p w14:paraId="14B950FA" w14:textId="13725BDD" w:rsidR="00192D8B" w:rsidRPr="00844368" w:rsidRDefault="00192D8B" w:rsidP="006E54C3">
      <w:pPr>
        <w:jc w:val="both"/>
      </w:pPr>
      <w:r w:rsidRPr="00844368">
        <w:t>The visualizations provide a detailed look at Japan's economic metrics following the FIFA 2002 World Cup:</w:t>
      </w:r>
    </w:p>
    <w:p w14:paraId="24643B7F" w14:textId="77777777" w:rsidR="00192D8B" w:rsidRPr="00844368" w:rsidRDefault="00192D8B" w:rsidP="00E644A9">
      <w:pPr>
        <w:pStyle w:val="ListParagraph"/>
        <w:numPr>
          <w:ilvl w:val="0"/>
          <w:numId w:val="46"/>
        </w:numPr>
        <w:rPr>
          <w:lang w:val="en-US"/>
        </w:rPr>
      </w:pPr>
      <w:r w:rsidRPr="00844368">
        <w:rPr>
          <w:b/>
          <w:bCs/>
          <w:lang w:val="en-US"/>
        </w:rPr>
        <w:t>GDP Growth Rate:</w:t>
      </w:r>
      <w:r w:rsidRPr="00844368">
        <w:rPr>
          <w:lang w:val="en-US"/>
        </w:rPr>
        <w:t xml:space="preserve"> A notable peak in 2002 (3%) due to event-related activities, followed by stabilization at around 2% in subsequent years.</w:t>
      </w:r>
    </w:p>
    <w:p w14:paraId="344B4537" w14:textId="77777777" w:rsidR="00192D8B" w:rsidRPr="00844368" w:rsidRDefault="00192D8B" w:rsidP="00E644A9">
      <w:pPr>
        <w:pStyle w:val="ListParagraph"/>
        <w:numPr>
          <w:ilvl w:val="0"/>
          <w:numId w:val="46"/>
        </w:numPr>
        <w:rPr>
          <w:lang w:val="en-US"/>
        </w:rPr>
      </w:pPr>
      <w:r w:rsidRPr="00844368">
        <w:rPr>
          <w:b/>
          <w:bCs/>
          <w:lang w:val="en-US"/>
        </w:rPr>
        <w:t>Tourism Revenue:</w:t>
      </w:r>
      <w:r w:rsidRPr="00844368">
        <w:rPr>
          <w:lang w:val="en-US"/>
        </w:rPr>
        <w:t xml:space="preserve"> Reached $17 billion during the event, gradually stabilizing to $15 billion, demonstrating the event's role in boosting tourism.</w:t>
      </w:r>
    </w:p>
    <w:p w14:paraId="46AB0CCC" w14:textId="77777777" w:rsidR="00192D8B" w:rsidRPr="00844368" w:rsidRDefault="00192D8B" w:rsidP="00E644A9">
      <w:pPr>
        <w:pStyle w:val="ListParagraph"/>
        <w:numPr>
          <w:ilvl w:val="0"/>
          <w:numId w:val="46"/>
        </w:numPr>
        <w:rPr>
          <w:lang w:val="en-US"/>
        </w:rPr>
      </w:pPr>
      <w:r w:rsidRPr="00844368">
        <w:rPr>
          <w:b/>
          <w:bCs/>
          <w:lang w:val="en-US"/>
        </w:rPr>
        <w:t>Unemployment Rate:</w:t>
      </w:r>
      <w:r w:rsidRPr="00844368">
        <w:rPr>
          <w:lang w:val="en-US"/>
        </w:rPr>
        <w:t xml:space="preserve"> Temporary jobs helped reduce unemployment slightly, but the long-term impact was limited.</w:t>
      </w:r>
    </w:p>
    <w:p w14:paraId="2B16C255" w14:textId="77777777" w:rsidR="00192D8B" w:rsidRPr="00844368" w:rsidRDefault="00192D8B" w:rsidP="00E644A9">
      <w:pPr>
        <w:pStyle w:val="ListParagraph"/>
        <w:numPr>
          <w:ilvl w:val="0"/>
          <w:numId w:val="46"/>
        </w:numPr>
        <w:rPr>
          <w:lang w:val="en-US"/>
        </w:rPr>
      </w:pPr>
      <w:r w:rsidRPr="00844368">
        <w:rPr>
          <w:b/>
          <w:bCs/>
          <w:lang w:val="en-US"/>
        </w:rPr>
        <w:t>Public Debt:</w:t>
      </w:r>
      <w:r w:rsidRPr="00844368">
        <w:rPr>
          <w:lang w:val="en-US"/>
        </w:rPr>
        <w:t xml:space="preserve"> Increased steadily, reflecting the financial burden of event-related investments.</w:t>
      </w:r>
    </w:p>
    <w:p w14:paraId="2329F0A7" w14:textId="77777777" w:rsidR="00192D8B" w:rsidRPr="00844368" w:rsidRDefault="00192D8B" w:rsidP="00E644A9">
      <w:pPr>
        <w:pStyle w:val="ListParagraph"/>
        <w:numPr>
          <w:ilvl w:val="0"/>
          <w:numId w:val="46"/>
        </w:numPr>
        <w:rPr>
          <w:lang w:val="en-US"/>
        </w:rPr>
      </w:pPr>
      <w:r w:rsidRPr="00844368">
        <w:rPr>
          <w:b/>
          <w:bCs/>
          <w:lang w:val="en-US"/>
        </w:rPr>
        <w:t>Infrastructure Spending:</w:t>
      </w:r>
      <w:r w:rsidRPr="00844368">
        <w:rPr>
          <w:lang w:val="en-US"/>
        </w:rPr>
        <w:t xml:space="preserve"> Peaked in 2002 for World Cup preparations, with reduced spending post-event.</w:t>
      </w:r>
    </w:p>
    <w:p w14:paraId="1B01EBDF" w14:textId="77777777" w:rsidR="00192D8B" w:rsidRPr="00844368" w:rsidRDefault="00192D8B" w:rsidP="006E54C3">
      <w:pPr>
        <w:pStyle w:val="Heading5"/>
        <w:jc w:val="both"/>
      </w:pPr>
      <w:r w:rsidRPr="00844368">
        <w:rPr>
          <w:rStyle w:val="Strong"/>
          <w:b w:val="0"/>
          <w:bCs w:val="0"/>
        </w:rPr>
        <w:t>Concluding Insights</w:t>
      </w:r>
    </w:p>
    <w:p w14:paraId="33C27C24" w14:textId="77777777" w:rsidR="00192D8B" w:rsidRPr="00844368" w:rsidRDefault="00192D8B" w:rsidP="006E54C3">
      <w:pPr>
        <w:jc w:val="both"/>
      </w:pPr>
      <w:r w:rsidRPr="00844368">
        <w:t>The FIFA 2002 World Cup showcased Japan's capability to host global mega-events and brought short-term economic boosts. However, the long-term benefits were less significant due to challenges in sustaining infrastructure usage and addressing public debt. Key lessons emphasize the importance of integrating mega-event planning into broader national development strategies to maximize inclusive and sustainable economic growth.</w:t>
      </w:r>
    </w:p>
    <w:p w14:paraId="47213869" w14:textId="77777777" w:rsidR="00192D8B" w:rsidRPr="00844368" w:rsidRDefault="00192D8B" w:rsidP="006E54C3">
      <w:pPr>
        <w:jc w:val="both"/>
      </w:pPr>
    </w:p>
    <w:p w14:paraId="607DEAFC" w14:textId="77777777" w:rsidR="00192D8B" w:rsidRPr="00844368" w:rsidRDefault="00192D8B" w:rsidP="006E54C3">
      <w:pPr>
        <w:jc w:val="both"/>
      </w:pPr>
      <w:r w:rsidRPr="00844368">
        <w:rPr>
          <w:noProof/>
        </w:rPr>
        <w:drawing>
          <wp:inline distT="0" distB="0" distL="0" distR="0" wp14:anchorId="502227FF" wp14:editId="433E5032">
            <wp:extent cx="3114675" cy="2083435"/>
            <wp:effectExtent l="0" t="0" r="9525"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141308" cy="2101250"/>
                    </a:xfrm>
                    <a:prstGeom prst="rect">
                      <a:avLst/>
                    </a:prstGeom>
                  </pic:spPr>
                </pic:pic>
              </a:graphicData>
            </a:graphic>
          </wp:inline>
        </w:drawing>
      </w:r>
    </w:p>
    <w:p w14:paraId="59ACB364" w14:textId="77777777" w:rsidR="00192D8B" w:rsidRPr="00844368" w:rsidRDefault="00192D8B" w:rsidP="006E54C3">
      <w:pPr>
        <w:jc w:val="both"/>
      </w:pPr>
    </w:p>
    <w:p w14:paraId="69E718D2" w14:textId="3DE46D7F" w:rsidR="00C33A97" w:rsidRDefault="006E54C3" w:rsidP="006E54C3">
      <w:pPr>
        <w:pStyle w:val="figurecaption"/>
      </w:pPr>
      <w:r>
        <w:t>Economic Impact of South Africa’s FIFA 2002 Hosting</w:t>
      </w:r>
    </w:p>
    <w:p w14:paraId="4C7C42A1" w14:textId="77777777" w:rsidR="006E54C3" w:rsidRPr="00844368" w:rsidRDefault="006E54C3" w:rsidP="006E54C3">
      <w:pPr>
        <w:pStyle w:val="Heading1"/>
      </w:pPr>
      <w:r w:rsidRPr="00844368">
        <w:t>Discussions</w:t>
      </w:r>
    </w:p>
    <w:p w14:paraId="5614FAEC" w14:textId="77777777" w:rsidR="006E54C3" w:rsidRPr="00844368" w:rsidRDefault="006E54C3" w:rsidP="006E54C3">
      <w:pPr>
        <w:jc w:val="both"/>
      </w:pPr>
    </w:p>
    <w:p w14:paraId="7DEB00CE" w14:textId="77777777" w:rsidR="006E54C3" w:rsidRPr="00844368" w:rsidRDefault="006E54C3" w:rsidP="006E54C3">
      <w:pPr>
        <w:jc w:val="both"/>
      </w:pPr>
      <w:r w:rsidRPr="00844368">
        <w:t>The FIFA World Cup is one of the best chances for a nation not completely in football but in economic as well as emphasizing the organizational capabilities. But the effects of this mega event in hosting the countries differs greatly for developed countries and developing nations as it is dependent on the availability of infrastructure, organized finance and management.</w:t>
      </w:r>
    </w:p>
    <w:p w14:paraId="3B8ACD35" w14:textId="77777777" w:rsidR="006E54C3" w:rsidRPr="006E54C3" w:rsidRDefault="006E54C3" w:rsidP="006E54C3">
      <w:pPr>
        <w:pStyle w:val="Heading2"/>
        <w:jc w:val="both"/>
        <w:rPr>
          <w:b/>
        </w:rPr>
      </w:pPr>
      <w:r w:rsidRPr="006E54C3">
        <w:rPr>
          <w:b/>
        </w:rPr>
        <w:t>Economic Impacts: A Contrast Between Developed and Developing Nations</w:t>
      </w:r>
    </w:p>
    <w:p w14:paraId="56EF3328" w14:textId="77777777" w:rsidR="006E54C3" w:rsidRPr="00844368" w:rsidRDefault="006E54C3" w:rsidP="006E54C3">
      <w:pPr>
        <w:jc w:val="both"/>
      </w:pPr>
      <w:r w:rsidRPr="00844368">
        <w:t xml:space="preserve">Germany in 2006 and Japan in 2002 were able </w:t>
      </w:r>
      <w:proofErr w:type="spellStart"/>
      <w:r w:rsidRPr="00844368">
        <w:t>capitalise</w:t>
      </w:r>
      <w:proofErr w:type="spellEnd"/>
      <w:r w:rsidRPr="00844368">
        <w:t xml:space="preserve"> on their growing economies and improved infrastructure through enabling structures in the country to host the World Cup and its aftermath quite effectively. Countries such as Japan integrated World Cup hosting into the national development plan on increasing tourism and international trade by effectively using the country’s state of the art technologies and modernized stadiums.</w:t>
      </w:r>
    </w:p>
    <w:p w14:paraId="318A7B9F" w14:textId="77777777" w:rsidR="006E54C3" w:rsidRPr="00844368" w:rsidRDefault="006E54C3" w:rsidP="006E54C3">
      <w:pPr>
        <w:jc w:val="both"/>
      </w:pPr>
      <w:r w:rsidRPr="00844368">
        <w:t>On the other hand, the World Cup legacies for developing countries like Brazil in 2014 and South Africa in 2010 were mixed. For a while both countries catered for huge flows of tourists besides creating some employment, subsequently these advantages were more than overshadowed by the rise in liabilities of the state and poorly used facilities. The much talked about ‘white elephant’ of stadiums built in Brazil as well as the continuing economic and social ills that South Africa had to cope with point out the troubles of a nation that has little in economic resilience.</w:t>
      </w:r>
    </w:p>
    <w:p w14:paraId="28B5406E" w14:textId="77777777" w:rsidR="006E54C3" w:rsidRPr="006E54C3" w:rsidRDefault="006E54C3" w:rsidP="006E54C3">
      <w:pPr>
        <w:pStyle w:val="Heading2"/>
        <w:jc w:val="both"/>
        <w:rPr>
          <w:b/>
        </w:rPr>
      </w:pPr>
      <w:r w:rsidRPr="006E54C3">
        <w:rPr>
          <w:b/>
        </w:rPr>
        <w:t>Infrastructure and Sustainability: A Promise VS A Pitfall</w:t>
      </w:r>
    </w:p>
    <w:p w14:paraId="4C75823E" w14:textId="77777777" w:rsidR="006E54C3" w:rsidRPr="00844368" w:rsidRDefault="006E54C3" w:rsidP="006E54C3">
      <w:pPr>
        <w:jc w:val="both"/>
      </w:pPr>
      <w:r w:rsidRPr="00844368">
        <w:t xml:space="preserve">There may be a forgone conclusion about whether to proceed with the enhancement of the current infrastructure or to start something new instead. Countries like South Africa with their Gautrain and Germany in fostering existent infrastructures emphasis on the impact that legacy possessions can have in growing the economy in the future. On the other hand, Brazil in building new stadiums for its regions with a low populace, showed very poor planning with very little rational argument: these locations will only be used once during events then left to wither for no facilities for further use are included in the development. </w:t>
      </w:r>
    </w:p>
    <w:p w14:paraId="53126CE6" w14:textId="77777777" w:rsidR="006E54C3" w:rsidRPr="006E54C3" w:rsidRDefault="006E54C3" w:rsidP="006E54C3">
      <w:pPr>
        <w:pStyle w:val="Heading2"/>
        <w:jc w:val="both"/>
        <w:rPr>
          <w:b/>
        </w:rPr>
      </w:pPr>
      <w:r w:rsidRPr="006E54C3">
        <w:rPr>
          <w:b/>
        </w:rPr>
        <w:t xml:space="preserve">Governance and Public Sentiment </w:t>
      </w:r>
    </w:p>
    <w:p w14:paraId="04E88E5F" w14:textId="77777777" w:rsidR="006E54C3" w:rsidRPr="00844368" w:rsidRDefault="006E54C3" w:rsidP="006E54C3">
      <w:pPr>
        <w:jc w:val="both"/>
      </w:pPr>
      <w:r w:rsidRPr="00844368">
        <w:t>Public perception and socio-political aspect while hosting cannot be sidelined. Nations that had more developed economy largely drifted from controversies while developing nations had to deal with protests and allegations throughout the World Cup. Resources were misallocated in Brazil leading to disenchantment across the nation, while South Africa faced criticism of governance because of lack of broad-based approach and transparency in planning.</w:t>
      </w:r>
    </w:p>
    <w:p w14:paraId="68AA8BAE" w14:textId="77777777" w:rsidR="006E54C3" w:rsidRPr="006E54C3" w:rsidRDefault="006E54C3" w:rsidP="006E54C3">
      <w:pPr>
        <w:pStyle w:val="Heading2"/>
        <w:jc w:val="both"/>
        <w:rPr>
          <w:b/>
        </w:rPr>
      </w:pPr>
      <w:r w:rsidRPr="006E54C3">
        <w:rPr>
          <w:b/>
        </w:rPr>
        <w:t>Governance and Public Sentiment</w:t>
      </w:r>
    </w:p>
    <w:p w14:paraId="71BD82C0" w14:textId="77777777" w:rsidR="006E54C3" w:rsidRPr="00844368" w:rsidRDefault="006E54C3" w:rsidP="006E54C3">
      <w:pPr>
        <w:jc w:val="both"/>
      </w:pPr>
      <w:r w:rsidRPr="00844368">
        <w:t>Without a doubt, the socio-political context of the hosting must be treated. While the developed nations were able to go through the World Cup with few issues, the developing countries suffered from public demonstrations and accusations of graft. In Brazil, wasted funds in planning derivatives led to discontent while the case of South Africa demonstrates the effectiveness of good policies to alleviate governance issues.</w:t>
      </w:r>
    </w:p>
    <w:p w14:paraId="0E4DF936" w14:textId="77777777" w:rsidR="006E54C3" w:rsidRPr="006E54C3" w:rsidRDefault="006E54C3" w:rsidP="006E54C3">
      <w:pPr>
        <w:pStyle w:val="Heading2"/>
        <w:jc w:val="both"/>
        <w:rPr>
          <w:b/>
        </w:rPr>
      </w:pPr>
      <w:r w:rsidRPr="006E54C3">
        <w:rPr>
          <w:b/>
        </w:rPr>
        <w:t>Environmental Footprints</w:t>
      </w:r>
    </w:p>
    <w:p w14:paraId="605E5106" w14:textId="77777777" w:rsidR="006E54C3" w:rsidRPr="00844368" w:rsidRDefault="006E54C3" w:rsidP="006E54C3">
      <w:pPr>
        <w:jc w:val="both"/>
      </w:pPr>
      <w:r w:rsidRPr="00844368">
        <w:t>Another closely related issue is the environmental impact of hosting mega-events. Germany and Japan were the exception and managed to implement environmentally friendly practices. On the other hand, Brazil and South Africa were badly criticized for their nature-non-friendly buildings and lack of environmental mitigation measures before, during and after the event, demonstrating an actual need for green-approaches.</w:t>
      </w:r>
    </w:p>
    <w:p w14:paraId="1D574D2A" w14:textId="447F749E" w:rsidR="006E54C3" w:rsidRDefault="006E54C3" w:rsidP="006E54C3">
      <w:pPr>
        <w:jc w:val="both"/>
      </w:pPr>
      <w:r w:rsidRPr="00844368">
        <w:t xml:space="preserve">The possibility of hosting the FIFA World Cup matches is a very big gamble, which allows countries to change how they are viewed from the outside, while at the same time dealing with economic and social issues. The differences between the experience of developed countries and of developing ones have useful lessons for future organizers. </w:t>
      </w:r>
    </w:p>
    <w:p w14:paraId="68A9A5EA" w14:textId="4F4EFE03" w:rsidR="006E54C3" w:rsidRDefault="006E54C3" w:rsidP="006E54C3">
      <w:pPr>
        <w:pStyle w:val="Heading1"/>
        <w:numPr>
          <w:ilvl w:val="0"/>
          <w:numId w:val="0"/>
        </w:numPr>
        <w:jc w:val="both"/>
      </w:pPr>
    </w:p>
    <w:p w14:paraId="37BDED7F" w14:textId="77777777" w:rsidR="006E54C3" w:rsidRPr="00844368" w:rsidRDefault="006E54C3" w:rsidP="00F72913">
      <w:pPr>
        <w:pStyle w:val="Heading1"/>
      </w:pPr>
      <w:r w:rsidRPr="00F72913">
        <w:t>Conclusion</w:t>
      </w:r>
    </w:p>
    <w:p w14:paraId="0C4CFC2E" w14:textId="77777777" w:rsidR="006E54C3" w:rsidRPr="00844368" w:rsidRDefault="006E54C3" w:rsidP="00F72913">
      <w:pPr>
        <w:jc w:val="both"/>
      </w:pPr>
    </w:p>
    <w:p w14:paraId="0073186D" w14:textId="06CC8B72" w:rsidR="006E54C3" w:rsidRPr="006E54C3" w:rsidRDefault="006E54C3" w:rsidP="00F72913">
      <w:pPr>
        <w:pStyle w:val="Heading2"/>
        <w:jc w:val="both"/>
        <w:rPr>
          <w:b/>
        </w:rPr>
      </w:pPr>
      <w:r w:rsidRPr="006E54C3">
        <w:rPr>
          <w:b/>
        </w:rPr>
        <w:t>The Strength of Stability</w:t>
      </w:r>
    </w:p>
    <w:p w14:paraId="5A7CCB6A" w14:textId="77777777" w:rsidR="006E54C3" w:rsidRPr="00844368" w:rsidRDefault="006E54C3" w:rsidP="00F72913">
      <w:pPr>
        <w:jc w:val="both"/>
      </w:pPr>
      <w:r w:rsidRPr="00844368">
        <w:t xml:space="preserve">Nations advanced like Japan and Germany showed that there was success in building on the present assets, avoiding uncertainties and putting the event in the context of the country’s goals. Their well-thought-out, strategic planning coupled with firm governance and ensured the hosting benefits cut across to the years after the last whistle. </w:t>
      </w:r>
    </w:p>
    <w:p w14:paraId="009475BC" w14:textId="77777777" w:rsidR="006E54C3" w:rsidRPr="006E54C3" w:rsidRDefault="006E54C3" w:rsidP="00F72913">
      <w:pPr>
        <w:pStyle w:val="Heading2"/>
        <w:jc w:val="both"/>
        <w:rPr>
          <w:b/>
        </w:rPr>
      </w:pPr>
      <w:r w:rsidRPr="006E54C3">
        <w:rPr>
          <w:b/>
        </w:rPr>
        <w:t xml:space="preserve">The Challenges of Ambition: </w:t>
      </w:r>
    </w:p>
    <w:p w14:paraId="5A754C2B" w14:textId="77777777" w:rsidR="006E54C3" w:rsidRPr="00844368" w:rsidRDefault="006E54C3" w:rsidP="00F72913">
      <w:pPr>
        <w:jc w:val="both"/>
      </w:pPr>
      <w:r w:rsidRPr="00844368">
        <w:t xml:space="preserve">Nations that are developing like Brazil and even South Africa showed both the temptations and the challenges of being a host. Sure, World Cup has the potential to drive the city to new heights of architectural beauty and get to the eyes of the world like never before, however, the price paid most of the time is unthinkable debt and social unrest. </w:t>
      </w:r>
    </w:p>
    <w:p w14:paraId="60F7E12A" w14:textId="77777777" w:rsidR="006E54C3" w:rsidRPr="006E54C3" w:rsidRDefault="006E54C3" w:rsidP="00F72913">
      <w:pPr>
        <w:pStyle w:val="Heading2"/>
        <w:jc w:val="both"/>
        <w:rPr>
          <w:b/>
        </w:rPr>
      </w:pPr>
      <w:r w:rsidRPr="006E54C3">
        <w:rPr>
          <w:b/>
        </w:rPr>
        <w:t xml:space="preserve">Blueprint for Success: </w:t>
      </w:r>
    </w:p>
    <w:p w14:paraId="208601DE" w14:textId="498EDB99" w:rsidR="006E54C3" w:rsidRPr="00844368" w:rsidRDefault="006E54C3" w:rsidP="00F72913">
      <w:pPr>
        <w:pStyle w:val="Heading4"/>
      </w:pPr>
      <w:r w:rsidRPr="00F72913">
        <w:rPr>
          <w:b/>
        </w:rPr>
        <w:t>Strategic Vision:</w:t>
      </w:r>
      <w:r w:rsidRPr="00844368">
        <w:t xml:space="preserve"> </w:t>
      </w:r>
      <w:r w:rsidRPr="000560FC">
        <w:rPr>
          <w:i w:val="0"/>
        </w:rPr>
        <w:t>Host nations should have a plan for building the World Cup around their own national goals and plans and make sure any plans for infrastructure development cover the society's requirements long after the user and the world cup has left.</w:t>
      </w:r>
      <w:r w:rsidRPr="00844368">
        <w:t xml:space="preserve"> </w:t>
      </w:r>
    </w:p>
    <w:p w14:paraId="500273EB" w14:textId="4A340ACB" w:rsidR="006E54C3" w:rsidRPr="000560FC" w:rsidRDefault="006E54C3" w:rsidP="00F72913">
      <w:pPr>
        <w:pStyle w:val="Heading4"/>
        <w:rPr>
          <w:i w:val="0"/>
        </w:rPr>
      </w:pPr>
      <w:r w:rsidRPr="00F72913">
        <w:rPr>
          <w:b/>
        </w:rPr>
        <w:lastRenderedPageBreak/>
        <w:t>Transparent Governance:</w:t>
      </w:r>
      <w:r w:rsidR="00F72913">
        <w:t xml:space="preserve"> </w:t>
      </w:r>
      <w:r w:rsidRPr="000560FC">
        <w:rPr>
          <w:i w:val="0"/>
        </w:rPr>
        <w:t>The public faith on the government and its ability to manage resources can be lost through fraudulent dealings and misspending. There are simply no two ways about strong accountability systems.</w:t>
      </w:r>
    </w:p>
    <w:p w14:paraId="0925E926" w14:textId="77777777" w:rsidR="006E54C3" w:rsidRPr="000560FC" w:rsidRDefault="006E54C3" w:rsidP="00F72913">
      <w:pPr>
        <w:pStyle w:val="Heading4"/>
        <w:rPr>
          <w:i w:val="0"/>
        </w:rPr>
      </w:pPr>
      <w:r w:rsidRPr="00F72913">
        <w:rPr>
          <w:b/>
        </w:rPr>
        <w:t>Eco-Responsibility:</w:t>
      </w:r>
      <w:r w:rsidRPr="00844368">
        <w:t xml:space="preserve"> </w:t>
      </w:r>
      <w:r w:rsidRPr="000560FC">
        <w:rPr>
          <w:i w:val="0"/>
        </w:rPr>
        <w:t>By ensuring sustainable practices, this event can reduce environmental effects, transforming the event itself into a case of eco-mobile practices.</w:t>
      </w:r>
    </w:p>
    <w:p w14:paraId="0E6E0411" w14:textId="77777777" w:rsidR="006E54C3" w:rsidRPr="00844368" w:rsidRDefault="006E54C3" w:rsidP="00F72913">
      <w:pPr>
        <w:jc w:val="both"/>
      </w:pPr>
      <w:r w:rsidRPr="00844368">
        <w:t>When balanced with sustainability and governance, future host international locations can transform the FIFA World Cup into a propeller for sustainable achievements, one that brings a successful legacy for the world`s most prestigious wholesome, on and off the sector.</w:t>
      </w:r>
    </w:p>
    <w:p w14:paraId="2473AA89" w14:textId="77777777" w:rsidR="006E54C3" w:rsidRPr="00844368" w:rsidRDefault="006E54C3" w:rsidP="00F72913">
      <w:pPr>
        <w:jc w:val="both"/>
      </w:pPr>
    </w:p>
    <w:p w14:paraId="15CB1E13" w14:textId="706E401A" w:rsidR="009303D9" w:rsidRDefault="009303D9" w:rsidP="002F527D">
      <w:pPr>
        <w:pStyle w:val="Heading5"/>
      </w:pPr>
      <w:r w:rsidRPr="009C259A">
        <w:t>References</w:t>
      </w:r>
    </w:p>
    <w:p w14:paraId="509E1E87" w14:textId="77777777" w:rsidR="00F72913" w:rsidRPr="00F72913" w:rsidRDefault="00F72913" w:rsidP="00F72913"/>
    <w:p w14:paraId="16AEA4C7" w14:textId="77777777" w:rsidR="00F72913" w:rsidRPr="00F72913" w:rsidRDefault="00F72913" w:rsidP="00F72913">
      <w:pPr>
        <w:pStyle w:val="references"/>
        <w:rPr>
          <w:rStyle w:val="IntenseReference"/>
        </w:rPr>
      </w:pPr>
      <w:r w:rsidRPr="00F72913">
        <w:rPr>
          <w:rStyle w:val="IntenseReference"/>
        </w:rPr>
        <w:t>Subathra, V., Thakur, S., &amp; Gupta, R. (2022). The financial toll of hosting the FIFA World Cup in developing nations. Global Economic Studies, 45 (1), 103–118.</w:t>
      </w:r>
    </w:p>
    <w:p w14:paraId="202FDE5A" w14:textId="77777777" w:rsidR="00F72913" w:rsidRPr="00F72913" w:rsidRDefault="00F72913" w:rsidP="00F72913">
      <w:pPr>
        <w:pStyle w:val="references"/>
        <w:rPr>
          <w:rStyle w:val="IntenseReference"/>
        </w:rPr>
      </w:pPr>
      <w:r w:rsidRPr="00F72913">
        <w:rPr>
          <w:rStyle w:val="IntenseReference"/>
        </w:rPr>
        <w:t>Mitra, A. (2015). Protests and politics: Social impact of the 2014 FIFA World Cup in Brazil. International Journal of Sociology, 32 (4), 12–28.</w:t>
      </w:r>
    </w:p>
    <w:p w14:paraId="20CE4EFD" w14:textId="77777777" w:rsidR="00F72913" w:rsidRPr="00F72913" w:rsidRDefault="00F72913" w:rsidP="00F72913">
      <w:pPr>
        <w:pStyle w:val="references"/>
        <w:rPr>
          <w:rStyle w:val="IntenseReference"/>
        </w:rPr>
      </w:pPr>
      <w:r w:rsidRPr="00F72913">
        <w:rPr>
          <w:rStyle w:val="IntenseReference"/>
        </w:rPr>
        <w:t>Fernandes, P., &amp; Carvalho, T. (2016). Environmental costs of mega-events: Lessons from Brazil. Environmental Economics Review, 19 (2), 150–168.</w:t>
      </w:r>
    </w:p>
    <w:p w14:paraId="015FD958" w14:textId="77777777" w:rsidR="00F72913" w:rsidRPr="00F72913" w:rsidRDefault="00F72913" w:rsidP="00F72913">
      <w:pPr>
        <w:pStyle w:val="references"/>
        <w:rPr>
          <w:rStyle w:val="IntenseReference"/>
        </w:rPr>
      </w:pPr>
      <w:r w:rsidRPr="00F72913">
        <w:rPr>
          <w:rStyle w:val="IntenseReference"/>
        </w:rPr>
        <w:t>Baumann, R., &amp; Matheson, V. A. (2013). Mega-events and their economic consequences: A study of the FIFA World Cup 2006 in Germany. Journal of Sports Economics, 14 (2), 204–220.</w:t>
      </w:r>
    </w:p>
    <w:p w14:paraId="13077572" w14:textId="77777777" w:rsidR="00F72913" w:rsidRPr="00F72913" w:rsidRDefault="00F72913" w:rsidP="00F72913">
      <w:pPr>
        <w:pStyle w:val="references"/>
        <w:rPr>
          <w:rStyle w:val="IntenseReference"/>
        </w:rPr>
      </w:pPr>
      <w:r w:rsidRPr="00F72913">
        <w:rPr>
          <w:rStyle w:val="IntenseReference"/>
        </w:rPr>
        <w:t>Schmidt, H., Weber, C., &amp; Fuchs, A. (2018). The Summer Fairytale: Cultural impact of the FIFA World Cup 2006. German Studies Review, 41 (3), 540–559.</w:t>
      </w:r>
    </w:p>
    <w:p w14:paraId="718B885D" w14:textId="77777777" w:rsidR="00F72913" w:rsidRPr="00F72913" w:rsidRDefault="00F72913" w:rsidP="00F72913">
      <w:pPr>
        <w:pStyle w:val="references"/>
        <w:rPr>
          <w:rStyle w:val="IntenseReference"/>
        </w:rPr>
      </w:pPr>
      <w:r w:rsidRPr="00F72913">
        <w:rPr>
          <w:rStyle w:val="IntenseReference"/>
        </w:rPr>
        <w:t>Peeters, T., &amp; Matheson, V. A. (2014). Tourism and the FIFA World Cup: The 2010 South African experience. Tourism Economics, 20 (6), 1143–1158.</w:t>
      </w:r>
    </w:p>
    <w:p w14:paraId="0E32B9CC" w14:textId="77777777" w:rsidR="00F72913" w:rsidRPr="00F72913" w:rsidRDefault="00F72913" w:rsidP="00F72913">
      <w:pPr>
        <w:pStyle w:val="references"/>
        <w:rPr>
          <w:rStyle w:val="IntenseReference"/>
        </w:rPr>
      </w:pPr>
      <w:r w:rsidRPr="00F72913">
        <w:rPr>
          <w:rStyle w:val="IntenseReference"/>
        </w:rPr>
        <w:t>Harris, M. (2011). The legacy of the FIFA World Cup for Africa: A continental perspective. African Studies Quarterly, 12 (4), 1–20.</w:t>
      </w:r>
    </w:p>
    <w:p w14:paraId="66A4799A" w14:textId="77777777" w:rsidR="00F72913" w:rsidRPr="00F72913" w:rsidRDefault="00F72913" w:rsidP="00F72913">
      <w:pPr>
        <w:pStyle w:val="references"/>
        <w:rPr>
          <w:rStyle w:val="IntenseReference"/>
        </w:rPr>
      </w:pPr>
      <w:r w:rsidRPr="00F72913">
        <w:rPr>
          <w:rStyle w:val="IntenseReference"/>
        </w:rPr>
        <w:t>Silva, J., Ncube, P., &amp; Nkosi, T. (2023). Governance failures in mega-events: A South African perspective. Journal of Political Economy, 56 (1), 23–43.</w:t>
      </w:r>
    </w:p>
    <w:p w14:paraId="4DE33315" w14:textId="77777777" w:rsidR="00F72913" w:rsidRPr="00F72913" w:rsidRDefault="00F72913" w:rsidP="00F72913">
      <w:pPr>
        <w:pStyle w:val="references"/>
        <w:rPr>
          <w:rStyle w:val="IntenseReference"/>
        </w:rPr>
      </w:pPr>
      <w:r w:rsidRPr="00F72913">
        <w:rPr>
          <w:rStyle w:val="IntenseReference"/>
        </w:rPr>
        <w:t>Mabunda, T., &amp; Khumalo, N. (2015). Evaluating environmental initiatives of the FIFA 2010 World Cup. Sustainable Development Journal, 22 (3), 245–263.</w:t>
      </w:r>
    </w:p>
    <w:p w14:paraId="5734EAE6" w14:textId="77777777" w:rsidR="00F72913" w:rsidRPr="00F72913" w:rsidRDefault="00F72913" w:rsidP="00F72913">
      <w:pPr>
        <w:pStyle w:val="references"/>
        <w:rPr>
          <w:rStyle w:val="IntenseReference"/>
        </w:rPr>
      </w:pPr>
      <w:r w:rsidRPr="00F72913">
        <w:rPr>
          <w:rStyle w:val="IntenseReference"/>
        </w:rPr>
        <w:t>Inoue, Y., &amp; Havard, C. T. (2004). Technology and tourism: The case of Japan’s 2002 FIFA World Cup. Asia-Pacific Journal of Tourism Research, 9 (1), 1–14.</w:t>
      </w:r>
    </w:p>
    <w:p w14:paraId="26AE801D" w14:textId="30ADA588" w:rsidR="00F72913" w:rsidRDefault="00F72913" w:rsidP="00F72913">
      <w:pPr>
        <w:pStyle w:val="references"/>
        <w:ind w:start="17.70pt" w:hanging="17.70pt"/>
        <w:rPr>
          <w:rStyle w:val="IntenseReference"/>
        </w:rPr>
      </w:pPr>
      <w:r w:rsidRPr="00F72913">
        <w:rPr>
          <w:rStyle w:val="IntenseReference"/>
        </w:rPr>
        <w:t>Mortada, H. (2024). Impact of FIFA World Cup on Tourism. Theseus.fi.</w:t>
      </w:r>
    </w:p>
    <w:p w14:paraId="37F45DD0" w14:textId="77777777" w:rsidR="00F72913" w:rsidRDefault="00F72913" w:rsidP="00F72913">
      <w:pPr>
        <w:pStyle w:val="references"/>
        <w:ind w:start="17.70pt" w:hanging="17.70pt"/>
        <w:rPr>
          <w:rStyle w:val="IntenseReference"/>
        </w:rPr>
      </w:pPr>
      <w:r w:rsidRPr="00F72913">
        <w:rPr>
          <w:rStyle w:val="IntenseReference"/>
        </w:rPr>
        <w:t>Swart, K., &amp; Bouah, L. (2024). Promoting Major Sport Events in South Africa. Elgar Online.</w:t>
      </w:r>
    </w:p>
    <w:p w14:paraId="10B42428" w14:textId="533BCB55" w:rsidR="00F72913" w:rsidRPr="00F72913" w:rsidRDefault="00F72913" w:rsidP="00E644A9">
      <w:pPr>
        <w:pStyle w:val="references"/>
        <w:ind w:start="17.70pt" w:hanging="17.70pt"/>
        <w:rPr>
          <w:rStyle w:val="IntenseReference"/>
        </w:rPr>
      </w:pPr>
      <w:r w:rsidRPr="00F72913">
        <w:rPr>
          <w:rStyle w:val="IntenseReference"/>
        </w:rPr>
        <w:t>Coetzee, W. J. L. (2024). Knowledge Legacy of the FIFA World Cup. Taylor &amp; Francis.</w:t>
      </w:r>
    </w:p>
    <w:p w14:paraId="43E9F49C" w14:textId="1FB6AA52" w:rsidR="00836367" w:rsidRPr="00F44186" w:rsidRDefault="00836367" w:rsidP="008B6524">
      <w:pPr>
        <w:pStyle w:val="references"/>
        <w:numPr>
          <w:ilvl w:val="0"/>
          <w:numId w:val="0"/>
        </w:numPr>
        <w:spacing w:line="12pt" w:lineRule="auto"/>
        <w:ind w:start="18pt" w:hanging="18pt"/>
        <w:jc w:val="center"/>
        <w:rPr>
          <w:rFonts w:eastAsia="SimSun"/>
          <w:b/>
          <w:noProof w:val="0"/>
          <w:color w:val="00B0F0"/>
          <w:spacing w:val="-1"/>
          <w:sz w:val="20"/>
          <w:szCs w:val="20"/>
          <w:lang w:eastAsia="x-none"/>
        </w:rPr>
        <w:sectPr w:rsidR="00836367" w:rsidRPr="00F44186" w:rsidSect="003B4E04">
          <w:type w:val="continuous"/>
          <w:pgSz w:w="595.30pt" w:h="841.90pt" w:code="9"/>
          <w:pgMar w:top="54pt" w:right="45.35pt" w:bottom="72pt" w:left="45.35pt" w:header="36pt" w:footer="36pt" w:gutter="0pt"/>
          <w:cols w:num="2" w:space="18pt"/>
          <w:docGrid w:linePitch="360"/>
        </w:sectPr>
      </w:pPr>
    </w:p>
    <w:p w14:paraId="0159E230" w14:textId="0597DF04" w:rsidR="009303D9" w:rsidRPr="009C259A" w:rsidRDefault="009303D9" w:rsidP="00F72913">
      <w:pPr>
        <w:jc w:val="both"/>
      </w:pPr>
    </w:p>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CD3874B" w14:textId="77777777" w:rsidR="0050308E" w:rsidRDefault="0050308E" w:rsidP="001A3B3D">
      <w:r>
        <w:separator/>
      </w:r>
    </w:p>
  </w:endnote>
  <w:endnote w:type="continuationSeparator" w:id="0">
    <w:p w14:paraId="6EB7D82E" w14:textId="77777777" w:rsidR="0050308E" w:rsidRDefault="0050308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287C4179" w:rsidR="00E86CFE" w:rsidRPr="006F6D3D" w:rsidRDefault="00E86CFE"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AB8C207" w14:textId="77777777" w:rsidR="0050308E" w:rsidRDefault="0050308E" w:rsidP="001A3B3D">
      <w:r>
        <w:separator/>
      </w:r>
    </w:p>
  </w:footnote>
  <w:footnote w:type="continuationSeparator" w:id="0">
    <w:p w14:paraId="0402EE66" w14:textId="77777777" w:rsidR="0050308E" w:rsidRDefault="0050308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17357CB"/>
    <w:multiLevelType w:val="hybridMultilevel"/>
    <w:tmpl w:val="A580CC3C"/>
    <w:lvl w:ilvl="0" w:tplc="04090001">
      <w:start w:val="1"/>
      <w:numFmt w:val="bullet"/>
      <w:lvlText w:val=""/>
      <w:lvlJc w:val="start"/>
      <w:pPr>
        <w:ind w:start="45pt" w:hanging="18pt"/>
      </w:pPr>
      <w:rPr>
        <w:rFonts w:ascii="Symbol" w:hAnsi="Symbol" w:hint="default"/>
      </w:rPr>
    </w:lvl>
    <w:lvl w:ilvl="1" w:tplc="04090003" w:tentative="1">
      <w:start w:val="1"/>
      <w:numFmt w:val="bullet"/>
      <w:lvlText w:val="o"/>
      <w:lvlJc w:val="start"/>
      <w:pPr>
        <w:ind w:start="81pt" w:hanging="18pt"/>
      </w:pPr>
      <w:rPr>
        <w:rFonts w:ascii="Courier New" w:hAnsi="Courier New" w:cs="Courier New" w:hint="default"/>
      </w:rPr>
    </w:lvl>
    <w:lvl w:ilvl="2" w:tplc="04090005" w:tentative="1">
      <w:start w:val="1"/>
      <w:numFmt w:val="bullet"/>
      <w:lvlText w:val=""/>
      <w:lvlJc w:val="start"/>
      <w:pPr>
        <w:ind w:start="117pt" w:hanging="18pt"/>
      </w:pPr>
      <w:rPr>
        <w:rFonts w:ascii="Wingdings" w:hAnsi="Wingdings" w:hint="default"/>
      </w:rPr>
    </w:lvl>
    <w:lvl w:ilvl="3" w:tplc="04090001" w:tentative="1">
      <w:start w:val="1"/>
      <w:numFmt w:val="bullet"/>
      <w:lvlText w:val=""/>
      <w:lvlJc w:val="start"/>
      <w:pPr>
        <w:ind w:start="153pt" w:hanging="18pt"/>
      </w:pPr>
      <w:rPr>
        <w:rFonts w:ascii="Symbol" w:hAnsi="Symbol" w:hint="default"/>
      </w:rPr>
    </w:lvl>
    <w:lvl w:ilvl="4" w:tplc="04090003" w:tentative="1">
      <w:start w:val="1"/>
      <w:numFmt w:val="bullet"/>
      <w:lvlText w:val="o"/>
      <w:lvlJc w:val="start"/>
      <w:pPr>
        <w:ind w:start="189pt" w:hanging="18pt"/>
      </w:pPr>
      <w:rPr>
        <w:rFonts w:ascii="Courier New" w:hAnsi="Courier New" w:cs="Courier New" w:hint="default"/>
      </w:rPr>
    </w:lvl>
    <w:lvl w:ilvl="5" w:tplc="04090005" w:tentative="1">
      <w:start w:val="1"/>
      <w:numFmt w:val="bullet"/>
      <w:lvlText w:val=""/>
      <w:lvlJc w:val="start"/>
      <w:pPr>
        <w:ind w:start="225pt" w:hanging="18pt"/>
      </w:pPr>
      <w:rPr>
        <w:rFonts w:ascii="Wingdings" w:hAnsi="Wingdings" w:hint="default"/>
      </w:rPr>
    </w:lvl>
    <w:lvl w:ilvl="6" w:tplc="04090001" w:tentative="1">
      <w:start w:val="1"/>
      <w:numFmt w:val="bullet"/>
      <w:lvlText w:val=""/>
      <w:lvlJc w:val="start"/>
      <w:pPr>
        <w:ind w:start="261pt" w:hanging="18pt"/>
      </w:pPr>
      <w:rPr>
        <w:rFonts w:ascii="Symbol" w:hAnsi="Symbol" w:hint="default"/>
      </w:rPr>
    </w:lvl>
    <w:lvl w:ilvl="7" w:tplc="04090003" w:tentative="1">
      <w:start w:val="1"/>
      <w:numFmt w:val="bullet"/>
      <w:lvlText w:val="o"/>
      <w:lvlJc w:val="start"/>
      <w:pPr>
        <w:ind w:start="297pt" w:hanging="18pt"/>
      </w:pPr>
      <w:rPr>
        <w:rFonts w:ascii="Courier New" w:hAnsi="Courier New" w:cs="Courier New" w:hint="default"/>
      </w:rPr>
    </w:lvl>
    <w:lvl w:ilvl="8" w:tplc="04090005" w:tentative="1">
      <w:start w:val="1"/>
      <w:numFmt w:val="bullet"/>
      <w:lvlText w:val=""/>
      <w:lvlJc w:val="start"/>
      <w:pPr>
        <w:ind w:start="333pt" w:hanging="18pt"/>
      </w:pPr>
      <w:rPr>
        <w:rFonts w:ascii="Wingdings" w:hAnsi="Wingdings" w:hint="default"/>
      </w:rPr>
    </w:lvl>
  </w:abstractNum>
  <w:abstractNum w:abstractNumId="1" w15:restartNumberingAfterBreak="0">
    <w:nsid w:val="06E0686D"/>
    <w:multiLevelType w:val="multilevel"/>
    <w:tmpl w:val="DC12340C"/>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 w15:restartNumberingAfterBreak="0">
    <w:nsid w:val="0CFB209B"/>
    <w:multiLevelType w:val="multilevel"/>
    <w:tmpl w:val="2F9863A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 w15:restartNumberingAfterBreak="0">
    <w:nsid w:val="113E34E8"/>
    <w:multiLevelType w:val="hybridMultilevel"/>
    <w:tmpl w:val="0390227E"/>
    <w:lvl w:ilvl="0" w:tplc="20000001">
      <w:start w:val="1"/>
      <w:numFmt w:val="bullet"/>
      <w:lvlText w:val=""/>
      <w:lvlJc w:val="start"/>
      <w:pPr>
        <w:ind w:start="72pt" w:hanging="18pt"/>
      </w:pPr>
      <w:rPr>
        <w:rFonts w:ascii="Symbol" w:hAnsi="Symbol" w:hint="default"/>
      </w:rPr>
    </w:lvl>
    <w:lvl w:ilvl="1" w:tplc="20000003" w:tentative="1">
      <w:start w:val="1"/>
      <w:numFmt w:val="bullet"/>
      <w:lvlText w:val="o"/>
      <w:lvlJc w:val="start"/>
      <w:pPr>
        <w:ind w:start="108pt" w:hanging="18pt"/>
      </w:pPr>
      <w:rPr>
        <w:rFonts w:ascii="Courier New" w:hAnsi="Courier New" w:cs="Courier New" w:hint="default"/>
      </w:rPr>
    </w:lvl>
    <w:lvl w:ilvl="2" w:tplc="20000005" w:tentative="1">
      <w:start w:val="1"/>
      <w:numFmt w:val="bullet"/>
      <w:lvlText w:val=""/>
      <w:lvlJc w:val="start"/>
      <w:pPr>
        <w:ind w:start="144pt" w:hanging="18pt"/>
      </w:pPr>
      <w:rPr>
        <w:rFonts w:ascii="Wingdings" w:hAnsi="Wingdings" w:hint="default"/>
      </w:rPr>
    </w:lvl>
    <w:lvl w:ilvl="3" w:tplc="20000001" w:tentative="1">
      <w:start w:val="1"/>
      <w:numFmt w:val="bullet"/>
      <w:lvlText w:val=""/>
      <w:lvlJc w:val="start"/>
      <w:pPr>
        <w:ind w:start="180pt" w:hanging="18pt"/>
      </w:pPr>
      <w:rPr>
        <w:rFonts w:ascii="Symbol" w:hAnsi="Symbol" w:hint="default"/>
      </w:rPr>
    </w:lvl>
    <w:lvl w:ilvl="4" w:tplc="20000003" w:tentative="1">
      <w:start w:val="1"/>
      <w:numFmt w:val="bullet"/>
      <w:lvlText w:val="o"/>
      <w:lvlJc w:val="start"/>
      <w:pPr>
        <w:ind w:start="216pt" w:hanging="18pt"/>
      </w:pPr>
      <w:rPr>
        <w:rFonts w:ascii="Courier New" w:hAnsi="Courier New" w:cs="Courier New" w:hint="default"/>
      </w:rPr>
    </w:lvl>
    <w:lvl w:ilvl="5" w:tplc="20000005" w:tentative="1">
      <w:start w:val="1"/>
      <w:numFmt w:val="bullet"/>
      <w:lvlText w:val=""/>
      <w:lvlJc w:val="start"/>
      <w:pPr>
        <w:ind w:start="252pt" w:hanging="18pt"/>
      </w:pPr>
      <w:rPr>
        <w:rFonts w:ascii="Wingdings" w:hAnsi="Wingdings" w:hint="default"/>
      </w:rPr>
    </w:lvl>
    <w:lvl w:ilvl="6" w:tplc="20000001" w:tentative="1">
      <w:start w:val="1"/>
      <w:numFmt w:val="bullet"/>
      <w:lvlText w:val=""/>
      <w:lvlJc w:val="start"/>
      <w:pPr>
        <w:ind w:start="288pt" w:hanging="18pt"/>
      </w:pPr>
      <w:rPr>
        <w:rFonts w:ascii="Symbol" w:hAnsi="Symbol" w:hint="default"/>
      </w:rPr>
    </w:lvl>
    <w:lvl w:ilvl="7" w:tplc="20000003" w:tentative="1">
      <w:start w:val="1"/>
      <w:numFmt w:val="bullet"/>
      <w:lvlText w:val="o"/>
      <w:lvlJc w:val="start"/>
      <w:pPr>
        <w:ind w:start="324pt" w:hanging="18pt"/>
      </w:pPr>
      <w:rPr>
        <w:rFonts w:ascii="Courier New" w:hAnsi="Courier New" w:cs="Courier New" w:hint="default"/>
      </w:rPr>
    </w:lvl>
    <w:lvl w:ilvl="8" w:tplc="20000005" w:tentative="1">
      <w:start w:val="1"/>
      <w:numFmt w:val="bullet"/>
      <w:lvlText w:val=""/>
      <w:lvlJc w:val="start"/>
      <w:pPr>
        <w:ind w:start="360pt" w:hanging="18pt"/>
      </w:pPr>
      <w:rPr>
        <w:rFonts w:ascii="Wingdings" w:hAnsi="Wingdings" w:hint="default"/>
      </w:rPr>
    </w:lvl>
  </w:abstractNum>
  <w:abstractNum w:abstractNumId="4" w15:restartNumberingAfterBreak="0">
    <w:nsid w:val="123076E6"/>
    <w:multiLevelType w:val="hybridMultilevel"/>
    <w:tmpl w:val="4EA0E1C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 w15:restartNumberingAfterBreak="0">
    <w:nsid w:val="12B028FE"/>
    <w:multiLevelType w:val="hybridMultilevel"/>
    <w:tmpl w:val="A600B8F2"/>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6" w15:restartNumberingAfterBreak="0">
    <w:nsid w:val="16463A37"/>
    <w:multiLevelType w:val="multilevel"/>
    <w:tmpl w:val="DC12340C"/>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7" w15:restartNumberingAfterBreak="0">
    <w:nsid w:val="1979689E"/>
    <w:multiLevelType w:val="multilevel"/>
    <w:tmpl w:val="2E74807C"/>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start w:val="1"/>
      <w:numFmt w:val="decimal"/>
      <w:lvlText w:val="%3."/>
      <w:lvlJc w:val="start"/>
      <w:pPr>
        <w:ind w:start="108pt" w:hanging="18pt"/>
      </w:pPr>
      <w:rPr>
        <w:rFonts w:hint="default"/>
        <w:b w:val="0"/>
      </w:rPr>
    </w:lvl>
    <w:lvl w:ilvl="3">
      <w:start w:val="1"/>
      <w:numFmt w:val="lowerLetter"/>
      <w:lvlText w:val="%4)"/>
      <w:lvlJc w:val="start"/>
      <w:pPr>
        <w:ind w:start="49.50pt" w:hanging="18pt"/>
      </w:pPr>
      <w:rPr>
        <w:rFonts w:hint="default"/>
        <w:b w:val="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8" w15:restartNumberingAfterBreak="0">
    <w:nsid w:val="1C540621"/>
    <w:multiLevelType w:val="multilevel"/>
    <w:tmpl w:val="82B4D08C"/>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1FA354D6"/>
    <w:multiLevelType w:val="hybridMultilevel"/>
    <w:tmpl w:val="A83EF89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0" w15:restartNumberingAfterBreak="0">
    <w:nsid w:val="1FAB2438"/>
    <w:multiLevelType w:val="hybridMultilevel"/>
    <w:tmpl w:val="F0CA4038"/>
    <w:lvl w:ilvl="0" w:tplc="282C7226">
      <w:start w:val="1"/>
      <w:numFmt w:val="bullet"/>
      <w:pStyle w:val="ListParagraph"/>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15:restartNumberingAfterBreak="0">
    <w:nsid w:val="215D1D71"/>
    <w:multiLevelType w:val="hybridMultilevel"/>
    <w:tmpl w:val="8440FC3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26F37509"/>
    <w:multiLevelType w:val="hybridMultilevel"/>
    <w:tmpl w:val="7C1EF8B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0130D98"/>
    <w:multiLevelType w:val="multilevel"/>
    <w:tmpl w:val="7A0A36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32F1765C"/>
    <w:multiLevelType w:val="hybridMultilevel"/>
    <w:tmpl w:val="BF8873CC"/>
    <w:lvl w:ilvl="0" w:tplc="20000001">
      <w:start w:val="1"/>
      <w:numFmt w:val="bullet"/>
      <w:lvlText w:val=""/>
      <w:lvlJc w:val="start"/>
      <w:pPr>
        <w:ind w:start="72pt" w:hanging="18pt"/>
      </w:pPr>
      <w:rPr>
        <w:rFonts w:ascii="Symbol" w:hAnsi="Symbol" w:hint="default"/>
      </w:rPr>
    </w:lvl>
    <w:lvl w:ilvl="1" w:tplc="20000003" w:tentative="1">
      <w:start w:val="1"/>
      <w:numFmt w:val="bullet"/>
      <w:lvlText w:val="o"/>
      <w:lvlJc w:val="start"/>
      <w:pPr>
        <w:ind w:start="108pt" w:hanging="18pt"/>
      </w:pPr>
      <w:rPr>
        <w:rFonts w:ascii="Courier New" w:hAnsi="Courier New" w:cs="Courier New" w:hint="default"/>
      </w:rPr>
    </w:lvl>
    <w:lvl w:ilvl="2" w:tplc="20000005" w:tentative="1">
      <w:start w:val="1"/>
      <w:numFmt w:val="bullet"/>
      <w:lvlText w:val=""/>
      <w:lvlJc w:val="start"/>
      <w:pPr>
        <w:ind w:start="144pt" w:hanging="18pt"/>
      </w:pPr>
      <w:rPr>
        <w:rFonts w:ascii="Wingdings" w:hAnsi="Wingdings" w:hint="default"/>
      </w:rPr>
    </w:lvl>
    <w:lvl w:ilvl="3" w:tplc="20000001" w:tentative="1">
      <w:start w:val="1"/>
      <w:numFmt w:val="bullet"/>
      <w:lvlText w:val=""/>
      <w:lvlJc w:val="start"/>
      <w:pPr>
        <w:ind w:start="180pt" w:hanging="18pt"/>
      </w:pPr>
      <w:rPr>
        <w:rFonts w:ascii="Symbol" w:hAnsi="Symbol" w:hint="default"/>
      </w:rPr>
    </w:lvl>
    <w:lvl w:ilvl="4" w:tplc="20000003" w:tentative="1">
      <w:start w:val="1"/>
      <w:numFmt w:val="bullet"/>
      <w:lvlText w:val="o"/>
      <w:lvlJc w:val="start"/>
      <w:pPr>
        <w:ind w:start="216pt" w:hanging="18pt"/>
      </w:pPr>
      <w:rPr>
        <w:rFonts w:ascii="Courier New" w:hAnsi="Courier New" w:cs="Courier New" w:hint="default"/>
      </w:rPr>
    </w:lvl>
    <w:lvl w:ilvl="5" w:tplc="20000005" w:tentative="1">
      <w:start w:val="1"/>
      <w:numFmt w:val="bullet"/>
      <w:lvlText w:val=""/>
      <w:lvlJc w:val="start"/>
      <w:pPr>
        <w:ind w:start="252pt" w:hanging="18pt"/>
      </w:pPr>
      <w:rPr>
        <w:rFonts w:ascii="Wingdings" w:hAnsi="Wingdings" w:hint="default"/>
      </w:rPr>
    </w:lvl>
    <w:lvl w:ilvl="6" w:tplc="20000001" w:tentative="1">
      <w:start w:val="1"/>
      <w:numFmt w:val="bullet"/>
      <w:lvlText w:val=""/>
      <w:lvlJc w:val="start"/>
      <w:pPr>
        <w:ind w:start="288pt" w:hanging="18pt"/>
      </w:pPr>
      <w:rPr>
        <w:rFonts w:ascii="Symbol" w:hAnsi="Symbol" w:hint="default"/>
      </w:rPr>
    </w:lvl>
    <w:lvl w:ilvl="7" w:tplc="20000003" w:tentative="1">
      <w:start w:val="1"/>
      <w:numFmt w:val="bullet"/>
      <w:lvlText w:val="o"/>
      <w:lvlJc w:val="start"/>
      <w:pPr>
        <w:ind w:start="324pt" w:hanging="18pt"/>
      </w:pPr>
      <w:rPr>
        <w:rFonts w:ascii="Courier New" w:hAnsi="Courier New" w:cs="Courier New" w:hint="default"/>
      </w:rPr>
    </w:lvl>
    <w:lvl w:ilvl="8" w:tplc="20000005" w:tentative="1">
      <w:start w:val="1"/>
      <w:numFmt w:val="bullet"/>
      <w:lvlText w:val=""/>
      <w:lvlJc w:val="start"/>
      <w:pPr>
        <w:ind w:start="360pt" w:hanging="18pt"/>
      </w:pPr>
      <w:rPr>
        <w:rFonts w:ascii="Wingdings" w:hAnsi="Wingdings" w:hint="default"/>
      </w:rPr>
    </w:lvl>
  </w:abstractNum>
  <w:abstractNum w:abstractNumId="16" w15:restartNumberingAfterBreak="0">
    <w:nsid w:val="338C4616"/>
    <w:multiLevelType w:val="hybridMultilevel"/>
    <w:tmpl w:val="E9BA2B0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339E7EFB"/>
    <w:multiLevelType w:val="hybridMultilevel"/>
    <w:tmpl w:val="539623B4"/>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18" w15:restartNumberingAfterBreak="0">
    <w:nsid w:val="35C4683D"/>
    <w:multiLevelType w:val="multilevel"/>
    <w:tmpl w:val="57A6F6B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36367762"/>
    <w:multiLevelType w:val="multilevel"/>
    <w:tmpl w:val="ECBEF7DC"/>
    <w:lvl w:ilvl="0">
      <w:start w:val="1"/>
      <w:numFmt w:val="bullet"/>
      <w:lvlText w:val=""/>
      <w:lvlJc w:val="start"/>
      <w:pPr>
        <w:tabs>
          <w:tab w:val="num" w:pos="36pt"/>
        </w:tabs>
        <w:ind w:start="36pt" w:hanging="18pt"/>
      </w:pPr>
      <w:rPr>
        <w:rFonts w:ascii="Symbol" w:hAnsi="Symbol" w:hint="default"/>
        <w:sz w:val="20"/>
      </w:rPr>
    </w:lvl>
    <w:lvl w:ilvl="1">
      <w:start w:val="1"/>
      <w:numFmt w:val="lowerLetter"/>
      <w:lvlText w:val="%2)"/>
      <w:lvlJc w:val="start"/>
      <w:pPr>
        <w:ind w:start="49.50pt" w:hanging="18pt"/>
      </w:pPr>
      <w:rPr>
        <w:rFonts w:eastAsiaTheme="majorEastAsia" w:hint="default"/>
        <w:b w:val="0"/>
      </w:rPr>
    </w:lvl>
    <w:lvl w:ilvl="2" w:tentative="1">
      <w:start w:val="1"/>
      <w:numFmt w:val="bullet"/>
      <w:lvlText w:val=""/>
      <w:lvlJc w:val="start"/>
      <w:pPr>
        <w:tabs>
          <w:tab w:val="num" w:pos="108pt"/>
        </w:tabs>
        <w:ind w:start="108pt" w:hanging="18pt"/>
      </w:pPr>
      <w:rPr>
        <w:rFonts w:ascii="Wingdings" w:hAnsi="Wingdings" w:hint="default"/>
        <w:sz w:val="20"/>
      </w:rPr>
    </w:lvl>
    <w:lvl w:ilvl="3">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D5B1142"/>
    <w:multiLevelType w:val="hybridMultilevel"/>
    <w:tmpl w:val="C8A87752"/>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40.5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5660A57"/>
    <w:multiLevelType w:val="hybridMultilevel"/>
    <w:tmpl w:val="C0F6120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AA86138"/>
    <w:multiLevelType w:val="hybridMultilevel"/>
    <w:tmpl w:val="D38649D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4BD55E2A"/>
    <w:multiLevelType w:val="hybridMultilevel"/>
    <w:tmpl w:val="66E6199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52CA544A"/>
    <w:multiLevelType w:val="singleLevel"/>
    <w:tmpl w:val="D03E72CA"/>
    <w:lvl w:ilvl="0">
      <w:start w:val="1"/>
      <w:numFmt w:val="decimal"/>
      <w:pStyle w:val="references"/>
      <w:lvlText w:val="[%1]"/>
      <w:lvlJc w:val="start"/>
      <w:pPr>
        <w:tabs>
          <w:tab w:val="num" w:pos="18pt"/>
        </w:tabs>
        <w:ind w:start="18pt" w:hanging="18pt"/>
      </w:pPr>
    </w:lvl>
  </w:abstractNum>
  <w:abstractNum w:abstractNumId="28" w15:restartNumberingAfterBreak="0">
    <w:nsid w:val="52EE424F"/>
    <w:multiLevelType w:val="hybridMultilevel"/>
    <w:tmpl w:val="30F6973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53A2305D"/>
    <w:multiLevelType w:val="multilevel"/>
    <w:tmpl w:val="B73E6CE0"/>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0" w15:restartNumberingAfterBreak="0">
    <w:nsid w:val="55445E04"/>
    <w:multiLevelType w:val="multilevel"/>
    <w:tmpl w:val="1544580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1" w15:restartNumberingAfterBreak="0">
    <w:nsid w:val="56F417EC"/>
    <w:multiLevelType w:val="hybridMultilevel"/>
    <w:tmpl w:val="D0D63376"/>
    <w:lvl w:ilvl="0" w:tplc="20000001">
      <w:start w:val="1"/>
      <w:numFmt w:val="bullet"/>
      <w:lvlText w:val=""/>
      <w:lvlJc w:val="start"/>
      <w:pPr>
        <w:ind w:start="72pt" w:hanging="18pt"/>
      </w:pPr>
      <w:rPr>
        <w:rFonts w:ascii="Symbol" w:hAnsi="Symbol" w:hint="default"/>
      </w:rPr>
    </w:lvl>
    <w:lvl w:ilvl="1" w:tplc="20000003" w:tentative="1">
      <w:start w:val="1"/>
      <w:numFmt w:val="bullet"/>
      <w:lvlText w:val="o"/>
      <w:lvlJc w:val="start"/>
      <w:pPr>
        <w:ind w:start="108pt" w:hanging="18pt"/>
      </w:pPr>
      <w:rPr>
        <w:rFonts w:ascii="Courier New" w:hAnsi="Courier New" w:cs="Courier New" w:hint="default"/>
      </w:rPr>
    </w:lvl>
    <w:lvl w:ilvl="2" w:tplc="20000005" w:tentative="1">
      <w:start w:val="1"/>
      <w:numFmt w:val="bullet"/>
      <w:lvlText w:val=""/>
      <w:lvlJc w:val="start"/>
      <w:pPr>
        <w:ind w:start="144pt" w:hanging="18pt"/>
      </w:pPr>
      <w:rPr>
        <w:rFonts w:ascii="Wingdings" w:hAnsi="Wingdings" w:hint="default"/>
      </w:rPr>
    </w:lvl>
    <w:lvl w:ilvl="3" w:tplc="20000001" w:tentative="1">
      <w:start w:val="1"/>
      <w:numFmt w:val="bullet"/>
      <w:lvlText w:val=""/>
      <w:lvlJc w:val="start"/>
      <w:pPr>
        <w:ind w:start="180pt" w:hanging="18pt"/>
      </w:pPr>
      <w:rPr>
        <w:rFonts w:ascii="Symbol" w:hAnsi="Symbol" w:hint="default"/>
      </w:rPr>
    </w:lvl>
    <w:lvl w:ilvl="4" w:tplc="20000003" w:tentative="1">
      <w:start w:val="1"/>
      <w:numFmt w:val="bullet"/>
      <w:lvlText w:val="o"/>
      <w:lvlJc w:val="start"/>
      <w:pPr>
        <w:ind w:start="216pt" w:hanging="18pt"/>
      </w:pPr>
      <w:rPr>
        <w:rFonts w:ascii="Courier New" w:hAnsi="Courier New" w:cs="Courier New" w:hint="default"/>
      </w:rPr>
    </w:lvl>
    <w:lvl w:ilvl="5" w:tplc="20000005" w:tentative="1">
      <w:start w:val="1"/>
      <w:numFmt w:val="bullet"/>
      <w:lvlText w:val=""/>
      <w:lvlJc w:val="start"/>
      <w:pPr>
        <w:ind w:start="252pt" w:hanging="18pt"/>
      </w:pPr>
      <w:rPr>
        <w:rFonts w:ascii="Wingdings" w:hAnsi="Wingdings" w:hint="default"/>
      </w:rPr>
    </w:lvl>
    <w:lvl w:ilvl="6" w:tplc="20000001" w:tentative="1">
      <w:start w:val="1"/>
      <w:numFmt w:val="bullet"/>
      <w:lvlText w:val=""/>
      <w:lvlJc w:val="start"/>
      <w:pPr>
        <w:ind w:start="288pt" w:hanging="18pt"/>
      </w:pPr>
      <w:rPr>
        <w:rFonts w:ascii="Symbol" w:hAnsi="Symbol" w:hint="default"/>
      </w:rPr>
    </w:lvl>
    <w:lvl w:ilvl="7" w:tplc="20000003" w:tentative="1">
      <w:start w:val="1"/>
      <w:numFmt w:val="bullet"/>
      <w:lvlText w:val="o"/>
      <w:lvlJc w:val="start"/>
      <w:pPr>
        <w:ind w:start="324pt" w:hanging="18pt"/>
      </w:pPr>
      <w:rPr>
        <w:rFonts w:ascii="Courier New" w:hAnsi="Courier New" w:cs="Courier New" w:hint="default"/>
      </w:rPr>
    </w:lvl>
    <w:lvl w:ilvl="8" w:tplc="20000005" w:tentative="1">
      <w:start w:val="1"/>
      <w:numFmt w:val="bullet"/>
      <w:lvlText w:val=""/>
      <w:lvlJc w:val="start"/>
      <w:pPr>
        <w:ind w:start="360pt" w:hanging="18pt"/>
      </w:pPr>
      <w:rPr>
        <w:rFonts w:ascii="Wingdings" w:hAnsi="Wingdings" w:hint="default"/>
      </w:rPr>
    </w:lvl>
  </w:abstractNum>
  <w:abstractNum w:abstractNumId="32" w15:restartNumberingAfterBreak="0">
    <w:nsid w:val="570E79C1"/>
    <w:multiLevelType w:val="hybridMultilevel"/>
    <w:tmpl w:val="C4F4529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3" w15:restartNumberingAfterBreak="0">
    <w:nsid w:val="57A2363E"/>
    <w:multiLevelType w:val="multilevel"/>
    <w:tmpl w:val="1E7611F6"/>
    <w:lvl w:ilvl="0">
      <w:start w:val="1"/>
      <w:numFmt w:val="decimal"/>
      <w:lvlText w:val="%1."/>
      <w:lvlJc w:val="start"/>
      <w:pPr>
        <w:tabs>
          <w:tab w:val="num" w:pos="36pt"/>
        </w:tabs>
        <w:ind w:start="36pt" w:hanging="18pt"/>
      </w:pPr>
    </w:lvl>
    <w:lvl w:ilvl="1">
      <w:start w:val="1"/>
      <w:numFmt w:val="bullet"/>
      <w:lvlText w:val=""/>
      <w:lvlJc w:val="start"/>
      <w:pPr>
        <w:ind w:start="72pt" w:hanging="18pt"/>
      </w:pPr>
      <w:rPr>
        <w:rFonts w:ascii="Symbol" w:hAnsi="Symbol" w:hint="default"/>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4" w15:restartNumberingAfterBreak="0">
    <w:nsid w:val="59D61F4B"/>
    <w:multiLevelType w:val="hybridMultilevel"/>
    <w:tmpl w:val="4EE2A1C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5" w15:restartNumberingAfterBreak="0">
    <w:nsid w:val="5E51116D"/>
    <w:multiLevelType w:val="hybridMultilevel"/>
    <w:tmpl w:val="5DE80AD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6" w15:restartNumberingAfterBreak="0">
    <w:nsid w:val="66A51E0B"/>
    <w:multiLevelType w:val="hybridMultilevel"/>
    <w:tmpl w:val="62A49F7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7" w15:restartNumberingAfterBreak="0">
    <w:nsid w:val="66FD3243"/>
    <w:multiLevelType w:val="multilevel"/>
    <w:tmpl w:val="CA00140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8" w15:restartNumberingAfterBreak="0">
    <w:nsid w:val="6969390B"/>
    <w:multiLevelType w:val="multilevel"/>
    <w:tmpl w:val="525CF82E"/>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9" w15:restartNumberingAfterBreak="0">
    <w:nsid w:val="6AAE5B4D"/>
    <w:multiLevelType w:val="hybridMultilevel"/>
    <w:tmpl w:val="D63674A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0" w15:restartNumberingAfterBreak="0">
    <w:nsid w:val="6C402C58"/>
    <w:multiLevelType w:val="hybridMultilevel"/>
    <w:tmpl w:val="9EAE253E"/>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430EFD00">
      <w:start w:val="1"/>
      <w:numFmt w:val="decimal"/>
      <w:lvlText w:val="%4."/>
      <w:lvlJc w:val="start"/>
      <w:pPr>
        <w:tabs>
          <w:tab w:val="num" w:pos="36pt"/>
        </w:tabs>
        <w:ind w:start="36pt" w:hanging="18pt"/>
      </w:pPr>
      <w:rPr>
        <w:rFonts w:cs="Times New Roman"/>
        <w:b/>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1" w15:restartNumberingAfterBreak="0">
    <w:nsid w:val="6C6A727D"/>
    <w:multiLevelType w:val="multilevel"/>
    <w:tmpl w:val="92B0F4D6"/>
    <w:lvl w:ilvl="0">
      <w:start w:val="1"/>
      <w:numFmt w:val="decimal"/>
      <w:lvlText w:val="%1."/>
      <w:lvlJc w:val="start"/>
      <w:pPr>
        <w:tabs>
          <w:tab w:val="num" w:pos="36pt"/>
        </w:tabs>
        <w:ind w:start="36pt" w:hanging="18pt"/>
      </w:pPr>
    </w:lvl>
    <w:lvl w:ilvl="1">
      <w:start w:val="1"/>
      <w:numFmt w:val="bullet"/>
      <w:lvlText w:val=""/>
      <w:lvlJc w:val="start"/>
      <w:pPr>
        <w:ind w:start="72pt" w:hanging="18pt"/>
      </w:pPr>
      <w:rPr>
        <w:rFonts w:ascii="Symbol" w:hAnsi="Symbol" w:hint="default"/>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3" w15:restartNumberingAfterBreak="0">
    <w:nsid w:val="72D70375"/>
    <w:multiLevelType w:val="hybridMultilevel"/>
    <w:tmpl w:val="6D362E74"/>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44" w15:restartNumberingAfterBreak="0">
    <w:nsid w:val="750A4835"/>
    <w:multiLevelType w:val="hybridMultilevel"/>
    <w:tmpl w:val="C34241F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5" w15:restartNumberingAfterBreak="0">
    <w:nsid w:val="79143D29"/>
    <w:multiLevelType w:val="hybridMultilevel"/>
    <w:tmpl w:val="05282688"/>
    <w:lvl w:ilvl="0" w:tplc="20000001">
      <w:start w:val="1"/>
      <w:numFmt w:val="bullet"/>
      <w:lvlText w:val=""/>
      <w:lvlJc w:val="start"/>
      <w:pPr>
        <w:ind w:start="90pt" w:hanging="18pt"/>
      </w:pPr>
      <w:rPr>
        <w:rFonts w:ascii="Symbol" w:hAnsi="Symbol" w:hint="default"/>
      </w:rPr>
    </w:lvl>
    <w:lvl w:ilvl="1" w:tplc="20000003" w:tentative="1">
      <w:start w:val="1"/>
      <w:numFmt w:val="bullet"/>
      <w:lvlText w:val="o"/>
      <w:lvlJc w:val="start"/>
      <w:pPr>
        <w:ind w:start="126pt" w:hanging="18pt"/>
      </w:pPr>
      <w:rPr>
        <w:rFonts w:ascii="Courier New" w:hAnsi="Courier New" w:cs="Courier New" w:hint="default"/>
      </w:rPr>
    </w:lvl>
    <w:lvl w:ilvl="2" w:tplc="20000005" w:tentative="1">
      <w:start w:val="1"/>
      <w:numFmt w:val="bullet"/>
      <w:lvlText w:val=""/>
      <w:lvlJc w:val="start"/>
      <w:pPr>
        <w:ind w:start="162pt" w:hanging="18pt"/>
      </w:pPr>
      <w:rPr>
        <w:rFonts w:ascii="Wingdings" w:hAnsi="Wingdings" w:hint="default"/>
      </w:rPr>
    </w:lvl>
    <w:lvl w:ilvl="3" w:tplc="20000001" w:tentative="1">
      <w:start w:val="1"/>
      <w:numFmt w:val="bullet"/>
      <w:lvlText w:val=""/>
      <w:lvlJc w:val="start"/>
      <w:pPr>
        <w:ind w:start="198pt" w:hanging="18pt"/>
      </w:pPr>
      <w:rPr>
        <w:rFonts w:ascii="Symbol" w:hAnsi="Symbol" w:hint="default"/>
      </w:rPr>
    </w:lvl>
    <w:lvl w:ilvl="4" w:tplc="20000003" w:tentative="1">
      <w:start w:val="1"/>
      <w:numFmt w:val="bullet"/>
      <w:lvlText w:val="o"/>
      <w:lvlJc w:val="start"/>
      <w:pPr>
        <w:ind w:start="234pt" w:hanging="18pt"/>
      </w:pPr>
      <w:rPr>
        <w:rFonts w:ascii="Courier New" w:hAnsi="Courier New" w:cs="Courier New" w:hint="default"/>
      </w:rPr>
    </w:lvl>
    <w:lvl w:ilvl="5" w:tplc="20000005" w:tentative="1">
      <w:start w:val="1"/>
      <w:numFmt w:val="bullet"/>
      <w:lvlText w:val=""/>
      <w:lvlJc w:val="start"/>
      <w:pPr>
        <w:ind w:start="270pt" w:hanging="18pt"/>
      </w:pPr>
      <w:rPr>
        <w:rFonts w:ascii="Wingdings" w:hAnsi="Wingdings" w:hint="default"/>
      </w:rPr>
    </w:lvl>
    <w:lvl w:ilvl="6" w:tplc="20000001" w:tentative="1">
      <w:start w:val="1"/>
      <w:numFmt w:val="bullet"/>
      <w:lvlText w:val=""/>
      <w:lvlJc w:val="start"/>
      <w:pPr>
        <w:ind w:start="306pt" w:hanging="18pt"/>
      </w:pPr>
      <w:rPr>
        <w:rFonts w:ascii="Symbol" w:hAnsi="Symbol" w:hint="default"/>
      </w:rPr>
    </w:lvl>
    <w:lvl w:ilvl="7" w:tplc="20000003" w:tentative="1">
      <w:start w:val="1"/>
      <w:numFmt w:val="bullet"/>
      <w:lvlText w:val="o"/>
      <w:lvlJc w:val="start"/>
      <w:pPr>
        <w:ind w:start="342pt" w:hanging="18pt"/>
      </w:pPr>
      <w:rPr>
        <w:rFonts w:ascii="Courier New" w:hAnsi="Courier New" w:cs="Courier New" w:hint="default"/>
      </w:rPr>
    </w:lvl>
    <w:lvl w:ilvl="8" w:tplc="20000005" w:tentative="1">
      <w:start w:val="1"/>
      <w:numFmt w:val="bullet"/>
      <w:lvlText w:val=""/>
      <w:lvlJc w:val="start"/>
      <w:pPr>
        <w:ind w:start="378pt" w:hanging="18pt"/>
      </w:pPr>
      <w:rPr>
        <w:rFonts w:ascii="Wingdings" w:hAnsi="Wingdings" w:hint="default"/>
      </w:rPr>
    </w:lvl>
  </w:abstractNum>
  <w:abstractNum w:abstractNumId="46" w15:restartNumberingAfterBreak="0">
    <w:nsid w:val="796C6BB1"/>
    <w:multiLevelType w:val="hybridMultilevel"/>
    <w:tmpl w:val="63DE997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7" w15:restartNumberingAfterBreak="0">
    <w:nsid w:val="7ECE7E33"/>
    <w:multiLevelType w:val="hybridMultilevel"/>
    <w:tmpl w:val="90127F4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336658657">
    <w:abstractNumId w:val="20"/>
  </w:num>
  <w:num w:numId="2" w16cid:durableId="450634875">
    <w:abstractNumId w:val="40"/>
  </w:num>
  <w:num w:numId="3" w16cid:durableId="1714698360">
    <w:abstractNumId w:val="13"/>
  </w:num>
  <w:num w:numId="4" w16cid:durableId="2112776969">
    <w:abstractNumId w:val="22"/>
  </w:num>
  <w:num w:numId="5" w16cid:durableId="1816222393">
    <w:abstractNumId w:val="27"/>
  </w:num>
  <w:num w:numId="6" w16cid:durableId="1571966981">
    <w:abstractNumId w:val="42"/>
  </w:num>
  <w:num w:numId="7" w16cid:durableId="1725104578">
    <w:abstractNumId w:val="24"/>
  </w:num>
  <w:num w:numId="8" w16cid:durableId="622229375">
    <w:abstractNumId w:val="12"/>
  </w:num>
  <w:num w:numId="9" w16cid:durableId="1156343556">
    <w:abstractNumId w:val="4"/>
  </w:num>
  <w:num w:numId="10" w16cid:durableId="515191161">
    <w:abstractNumId w:val="10"/>
  </w:num>
  <w:num w:numId="11" w16cid:durableId="111483784">
    <w:abstractNumId w:val="32"/>
  </w:num>
  <w:num w:numId="12" w16cid:durableId="1710642370">
    <w:abstractNumId w:val="39"/>
  </w:num>
  <w:num w:numId="13" w16cid:durableId="772936313">
    <w:abstractNumId w:val="25"/>
  </w:num>
  <w:num w:numId="14" w16cid:durableId="2118668857">
    <w:abstractNumId w:val="44"/>
  </w:num>
  <w:num w:numId="15" w16cid:durableId="1322662125">
    <w:abstractNumId w:val="36"/>
  </w:num>
  <w:num w:numId="16" w16cid:durableId="1951624669">
    <w:abstractNumId w:val="34"/>
  </w:num>
  <w:num w:numId="17" w16cid:durableId="2056074927">
    <w:abstractNumId w:val="16"/>
  </w:num>
  <w:num w:numId="18" w16cid:durableId="914313665">
    <w:abstractNumId w:val="46"/>
  </w:num>
  <w:num w:numId="19" w16cid:durableId="1007055941">
    <w:abstractNumId w:val="23"/>
  </w:num>
  <w:num w:numId="20" w16cid:durableId="1412237667">
    <w:abstractNumId w:val="0"/>
  </w:num>
  <w:num w:numId="21" w16cid:durableId="338586839">
    <w:abstractNumId w:val="9"/>
  </w:num>
  <w:num w:numId="22" w16cid:durableId="140925446">
    <w:abstractNumId w:val="47"/>
  </w:num>
  <w:num w:numId="23" w16cid:durableId="1330520141">
    <w:abstractNumId w:val="35"/>
  </w:num>
  <w:num w:numId="24" w16cid:durableId="877201972">
    <w:abstractNumId w:val="28"/>
  </w:num>
  <w:num w:numId="25" w16cid:durableId="1301955669">
    <w:abstractNumId w:val="11"/>
  </w:num>
  <w:num w:numId="26" w16cid:durableId="274288815">
    <w:abstractNumId w:val="26"/>
  </w:num>
  <w:num w:numId="27" w16cid:durableId="841236405">
    <w:abstractNumId w:val="2"/>
  </w:num>
  <w:num w:numId="28" w16cid:durableId="543366464">
    <w:abstractNumId w:val="19"/>
  </w:num>
  <w:num w:numId="29" w16cid:durableId="599021098">
    <w:abstractNumId w:val="38"/>
  </w:num>
  <w:num w:numId="30" w16cid:durableId="1472987798">
    <w:abstractNumId w:val="1"/>
  </w:num>
  <w:num w:numId="31" w16cid:durableId="1672369515">
    <w:abstractNumId w:val="6"/>
  </w:num>
  <w:num w:numId="32" w16cid:durableId="1720468423">
    <w:abstractNumId w:val="18"/>
  </w:num>
  <w:num w:numId="33" w16cid:durableId="902252607">
    <w:abstractNumId w:val="29"/>
  </w:num>
  <w:num w:numId="34" w16cid:durableId="1841459440">
    <w:abstractNumId w:val="8"/>
  </w:num>
  <w:num w:numId="35" w16cid:durableId="1412191951">
    <w:abstractNumId w:val="7"/>
  </w:num>
  <w:num w:numId="36" w16cid:durableId="313608234">
    <w:abstractNumId w:val="40"/>
    <w:lvlOverride w:ilvl="0">
      <w:startOverride w:val="1"/>
    </w:lvlOverride>
  </w:num>
  <w:num w:numId="37" w16cid:durableId="364212224">
    <w:abstractNumId w:val="14"/>
  </w:num>
  <w:num w:numId="38" w16cid:durableId="1518344082">
    <w:abstractNumId w:val="45"/>
  </w:num>
  <w:num w:numId="39" w16cid:durableId="813179687">
    <w:abstractNumId w:val="17"/>
  </w:num>
  <w:num w:numId="40" w16cid:durableId="1006833757">
    <w:abstractNumId w:val="21"/>
  </w:num>
  <w:num w:numId="41" w16cid:durableId="1805275672">
    <w:abstractNumId w:val="43"/>
  </w:num>
  <w:num w:numId="42" w16cid:durableId="1284505949">
    <w:abstractNumId w:val="3"/>
  </w:num>
  <w:num w:numId="43" w16cid:durableId="1289317903">
    <w:abstractNumId w:val="15"/>
  </w:num>
  <w:num w:numId="44" w16cid:durableId="1440838178">
    <w:abstractNumId w:val="5"/>
  </w:num>
  <w:num w:numId="45" w16cid:durableId="1269237410">
    <w:abstractNumId w:val="37"/>
  </w:num>
  <w:num w:numId="46" w16cid:durableId="1428303934">
    <w:abstractNumId w:val="30"/>
  </w:num>
  <w:num w:numId="47" w16cid:durableId="1879119191">
    <w:abstractNumId w:val="31"/>
  </w:num>
  <w:num w:numId="48" w16cid:durableId="1299341077">
    <w:abstractNumId w:val="33"/>
  </w:num>
  <w:num w:numId="49" w16cid:durableId="1024405646">
    <w:abstractNumId w:val="41"/>
  </w:num>
  <w:numIdMacAtCleanup w:val="49"/>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021"/>
    <w:rsid w:val="00004B2D"/>
    <w:rsid w:val="0004781E"/>
    <w:rsid w:val="000560FC"/>
    <w:rsid w:val="0008758A"/>
    <w:rsid w:val="000C1E68"/>
    <w:rsid w:val="000C4438"/>
    <w:rsid w:val="000D36F9"/>
    <w:rsid w:val="000F344D"/>
    <w:rsid w:val="00192D8B"/>
    <w:rsid w:val="001A2EFD"/>
    <w:rsid w:val="001A3B3D"/>
    <w:rsid w:val="001B67DC"/>
    <w:rsid w:val="001C5C30"/>
    <w:rsid w:val="00216ED3"/>
    <w:rsid w:val="002254A9"/>
    <w:rsid w:val="00233D97"/>
    <w:rsid w:val="002347A2"/>
    <w:rsid w:val="00246B1C"/>
    <w:rsid w:val="002850E3"/>
    <w:rsid w:val="002E4D87"/>
    <w:rsid w:val="002E7CBA"/>
    <w:rsid w:val="002F527D"/>
    <w:rsid w:val="0033505D"/>
    <w:rsid w:val="00354FCF"/>
    <w:rsid w:val="0035639D"/>
    <w:rsid w:val="00370017"/>
    <w:rsid w:val="003736C3"/>
    <w:rsid w:val="00397225"/>
    <w:rsid w:val="003A19E2"/>
    <w:rsid w:val="003B046D"/>
    <w:rsid w:val="003B2B40"/>
    <w:rsid w:val="003B4E04"/>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A1B3F"/>
    <w:rsid w:val="004D72B5"/>
    <w:rsid w:val="0050308E"/>
    <w:rsid w:val="005067CE"/>
    <w:rsid w:val="00551B7F"/>
    <w:rsid w:val="0056610F"/>
    <w:rsid w:val="00575BCA"/>
    <w:rsid w:val="00577619"/>
    <w:rsid w:val="00582C8E"/>
    <w:rsid w:val="005B0344"/>
    <w:rsid w:val="005B520E"/>
    <w:rsid w:val="005D32CF"/>
    <w:rsid w:val="005E2800"/>
    <w:rsid w:val="00605825"/>
    <w:rsid w:val="006064D4"/>
    <w:rsid w:val="00617357"/>
    <w:rsid w:val="00645D22"/>
    <w:rsid w:val="00651A08"/>
    <w:rsid w:val="00654204"/>
    <w:rsid w:val="00655F7C"/>
    <w:rsid w:val="00670434"/>
    <w:rsid w:val="006A0F8F"/>
    <w:rsid w:val="006B6B66"/>
    <w:rsid w:val="006E54C3"/>
    <w:rsid w:val="006F6D3D"/>
    <w:rsid w:val="007142F8"/>
    <w:rsid w:val="00715BEA"/>
    <w:rsid w:val="00740EEA"/>
    <w:rsid w:val="00752061"/>
    <w:rsid w:val="00794804"/>
    <w:rsid w:val="007B33F1"/>
    <w:rsid w:val="007B5FB4"/>
    <w:rsid w:val="007B6DDA"/>
    <w:rsid w:val="007C0308"/>
    <w:rsid w:val="007C2FF2"/>
    <w:rsid w:val="007C6F08"/>
    <w:rsid w:val="007D6232"/>
    <w:rsid w:val="007E1AFF"/>
    <w:rsid w:val="007F1F99"/>
    <w:rsid w:val="007F768F"/>
    <w:rsid w:val="0080791D"/>
    <w:rsid w:val="00810E26"/>
    <w:rsid w:val="00816184"/>
    <w:rsid w:val="00836367"/>
    <w:rsid w:val="0084056A"/>
    <w:rsid w:val="00857ED8"/>
    <w:rsid w:val="00873603"/>
    <w:rsid w:val="00895FF4"/>
    <w:rsid w:val="008A2C7D"/>
    <w:rsid w:val="008B6524"/>
    <w:rsid w:val="008C3C24"/>
    <w:rsid w:val="008C4B23"/>
    <w:rsid w:val="008F6E2C"/>
    <w:rsid w:val="009303D9"/>
    <w:rsid w:val="00933C64"/>
    <w:rsid w:val="00970D63"/>
    <w:rsid w:val="0097120D"/>
    <w:rsid w:val="00972203"/>
    <w:rsid w:val="00994367"/>
    <w:rsid w:val="009C259A"/>
    <w:rsid w:val="009D2DBE"/>
    <w:rsid w:val="009F1D79"/>
    <w:rsid w:val="00A04C66"/>
    <w:rsid w:val="00A059B3"/>
    <w:rsid w:val="00A46460"/>
    <w:rsid w:val="00A8753A"/>
    <w:rsid w:val="00AB4907"/>
    <w:rsid w:val="00AD16A0"/>
    <w:rsid w:val="00AE3409"/>
    <w:rsid w:val="00AF17E6"/>
    <w:rsid w:val="00B11A60"/>
    <w:rsid w:val="00B22613"/>
    <w:rsid w:val="00B4290F"/>
    <w:rsid w:val="00B44A76"/>
    <w:rsid w:val="00B66F5D"/>
    <w:rsid w:val="00B768D1"/>
    <w:rsid w:val="00BA1025"/>
    <w:rsid w:val="00BC3420"/>
    <w:rsid w:val="00BD5962"/>
    <w:rsid w:val="00BD670B"/>
    <w:rsid w:val="00BE7D3C"/>
    <w:rsid w:val="00BF5FF6"/>
    <w:rsid w:val="00C0207F"/>
    <w:rsid w:val="00C16117"/>
    <w:rsid w:val="00C3075A"/>
    <w:rsid w:val="00C33A97"/>
    <w:rsid w:val="00C34BD9"/>
    <w:rsid w:val="00C37ACC"/>
    <w:rsid w:val="00C8040C"/>
    <w:rsid w:val="00C919A4"/>
    <w:rsid w:val="00C929B4"/>
    <w:rsid w:val="00CA4392"/>
    <w:rsid w:val="00CC393F"/>
    <w:rsid w:val="00D17195"/>
    <w:rsid w:val="00D2176E"/>
    <w:rsid w:val="00D512C1"/>
    <w:rsid w:val="00D632BE"/>
    <w:rsid w:val="00D72D06"/>
    <w:rsid w:val="00D7522C"/>
    <w:rsid w:val="00D7536F"/>
    <w:rsid w:val="00D76668"/>
    <w:rsid w:val="00E07383"/>
    <w:rsid w:val="00E165BC"/>
    <w:rsid w:val="00E204AA"/>
    <w:rsid w:val="00E61E12"/>
    <w:rsid w:val="00E62CC1"/>
    <w:rsid w:val="00E644A9"/>
    <w:rsid w:val="00E7596C"/>
    <w:rsid w:val="00E86CFE"/>
    <w:rsid w:val="00E878F2"/>
    <w:rsid w:val="00EB5191"/>
    <w:rsid w:val="00ED0149"/>
    <w:rsid w:val="00EF7DE3"/>
    <w:rsid w:val="00F03103"/>
    <w:rsid w:val="00F271DE"/>
    <w:rsid w:val="00F3774B"/>
    <w:rsid w:val="00F44186"/>
    <w:rsid w:val="00F627DA"/>
    <w:rsid w:val="00F7288F"/>
    <w:rsid w:val="00F72913"/>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046D"/>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uiPriority w:val="9"/>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70017"/>
    <w:rPr>
      <w:color w:val="0563C1" w:themeColor="hyperlink"/>
      <w:u w:val="single"/>
    </w:rPr>
  </w:style>
  <w:style w:type="paragraph" w:styleId="ListParagraph">
    <w:name w:val="List Paragraph"/>
    <w:basedOn w:val="Normal"/>
    <w:uiPriority w:val="34"/>
    <w:qFormat/>
    <w:rsid w:val="00AF17E6"/>
    <w:pPr>
      <w:numPr>
        <w:numId w:val="10"/>
      </w:numPr>
      <w:spacing w:after="8pt" w:line="12.95pt" w:lineRule="auto"/>
      <w:contextualSpacing/>
      <w:jc w:val="both"/>
    </w:pPr>
    <w:rPr>
      <w:rFonts w:eastAsiaTheme="minorHAnsi"/>
      <w:kern w:val="2"/>
      <w:lang w:val="en-GB"/>
      <w14:ligatures w14:val="standardContextual"/>
    </w:rPr>
  </w:style>
  <w:style w:type="character" w:customStyle="1" w:styleId="Heading3Char">
    <w:name w:val="Heading 3 Char"/>
    <w:basedOn w:val="DefaultParagraphFont"/>
    <w:link w:val="Heading3"/>
    <w:uiPriority w:val="9"/>
    <w:rsid w:val="004A1B3F"/>
    <w:rPr>
      <w:i/>
      <w:iCs/>
      <w:noProof/>
    </w:rPr>
  </w:style>
  <w:style w:type="character" w:customStyle="1" w:styleId="Heading2Char">
    <w:name w:val="Heading 2 Char"/>
    <w:basedOn w:val="DefaultParagraphFont"/>
    <w:link w:val="Heading2"/>
    <w:rsid w:val="00D512C1"/>
    <w:rPr>
      <w:i/>
      <w:iCs/>
      <w:noProof/>
    </w:rPr>
  </w:style>
  <w:style w:type="table" w:styleId="TableGrid">
    <w:name w:val="Table Grid"/>
    <w:basedOn w:val="TableNormal"/>
    <w:uiPriority w:val="39"/>
    <w:rsid w:val="00E62CC1"/>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Strong">
    <w:name w:val="Strong"/>
    <w:basedOn w:val="DefaultParagraphFont"/>
    <w:uiPriority w:val="22"/>
    <w:qFormat/>
    <w:rsid w:val="00C33A97"/>
    <w:rPr>
      <w:b/>
      <w:bCs/>
    </w:rPr>
  </w:style>
  <w:style w:type="character" w:styleId="Emphasis">
    <w:name w:val="Emphasis"/>
    <w:basedOn w:val="DefaultParagraphFont"/>
    <w:uiPriority w:val="20"/>
    <w:qFormat/>
    <w:rsid w:val="00C33A97"/>
    <w:rPr>
      <w:i/>
      <w:iCs/>
    </w:rPr>
  </w:style>
  <w:style w:type="paragraph" w:styleId="Subtitle">
    <w:name w:val="Subtitle"/>
    <w:basedOn w:val="Normal"/>
    <w:next w:val="Normal"/>
    <w:link w:val="SubtitleChar"/>
    <w:qFormat/>
    <w:rsid w:val="000F344D"/>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F344D"/>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unhideWhenUsed/>
    <w:rsid w:val="000F344D"/>
    <w:pPr>
      <w:spacing w:before="5pt" w:beforeAutospacing="1" w:after="5pt" w:afterAutospacing="1"/>
      <w:jc w:val="start"/>
    </w:pPr>
    <w:rPr>
      <w:rFonts w:eastAsia="Times New Roman"/>
      <w:sz w:val="24"/>
      <w:szCs w:val="24"/>
      <w:lang w:val="en-GB"/>
    </w:rPr>
  </w:style>
  <w:style w:type="paragraph" w:styleId="NoSpacing">
    <w:name w:val="No Spacing"/>
    <w:uiPriority w:val="1"/>
    <w:qFormat/>
    <w:rsid w:val="009D2DBE"/>
    <w:pPr>
      <w:jc w:val="center"/>
    </w:pPr>
  </w:style>
  <w:style w:type="character" w:styleId="IntenseReference">
    <w:name w:val="Intense Reference"/>
    <w:uiPriority w:val="32"/>
    <w:qFormat/>
    <w:rsid w:val="00F7291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96857">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1723594">
      <w:bodyDiv w:val="1"/>
      <w:marLeft w:val="0pt"/>
      <w:marRight w:val="0pt"/>
      <w:marTop w:val="0pt"/>
      <w:marBottom w:val="0pt"/>
      <w:divBdr>
        <w:top w:val="none" w:sz="0" w:space="0" w:color="auto"/>
        <w:left w:val="none" w:sz="0" w:space="0" w:color="auto"/>
        <w:bottom w:val="none" w:sz="0" w:space="0" w:color="auto"/>
        <w:right w:val="none" w:sz="0" w:space="0" w:color="auto"/>
      </w:divBdr>
    </w:div>
    <w:div w:id="152351572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34" Type="http://purl.oclc.org/ooxml/officeDocument/relationships/image" Target="media/image23.png"/><Relationship Id="rId7" Type="http://purl.oclc.org/ooxml/officeDocument/relationships/endnotes" Target="endnotes.xml"/><Relationship Id="rId12" Type="http://purl.oclc.org/ooxml/officeDocument/relationships/image" Target="media/image1.pn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2" Type="http://purl.oclc.org/ooxml/officeDocument/relationships/numbering" Target="numbering.xml"/><Relationship Id="rId16" Type="http://purl.oclc.org/ooxml/officeDocument/relationships/image" Target="media/image5.png"/><Relationship Id="rId20" Type="http://purl.oclc.org/ooxml/officeDocument/relationships/image" Target="media/image9.png"/><Relationship Id="rId29" Type="http://purl.oclc.org/ooxml/officeDocument/relationships/image" Target="media/image1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231184@students.au.edu.pk" TargetMode="External"/><Relationship Id="rId24" Type="http://purl.oclc.org/ooxml/officeDocument/relationships/image" Target="media/image13.png"/><Relationship Id="rId32" Type="http://purl.oclc.org/ooxml/officeDocument/relationships/image" Target="media/image21.png"/><Relationship Id="rId5" Type="http://purl.oclc.org/ooxml/officeDocument/relationships/webSettings" Target="webSetting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theme" Target="theme/theme1.xml"/><Relationship Id="rId10" Type="http://purl.oclc.org/ooxml/officeDocument/relationships/hyperlink" Target="mailto:231222@students.au.edu.pk" TargetMode="External"/><Relationship Id="rId19" Type="http://purl.oclc.org/ooxml/officeDocument/relationships/image" Target="media/image8.png"/><Relationship Id="rId31" Type="http://purl.oclc.org/ooxml/officeDocument/relationships/image" Target="media/image20.png"/><Relationship Id="rId4" Type="http://purl.oclc.org/ooxml/officeDocument/relationships/settings" Target="settings.xml"/><Relationship Id="rId9" Type="http://purl.oclc.org/ooxml/officeDocument/relationships/hyperlink" Target="mailto:231236@students.au.edu.pk" TargetMode="External"/><Relationship Id="rId14" Type="http://purl.oclc.org/ooxml/officeDocument/relationships/image" Target="media/image3.png"/><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87A52198-8DDB-4089-9651-64EA77A51D1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386</TotalTime>
  <Pages>16</Pages>
  <Words>7030</Words>
  <Characters>40075</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Alishba Adnan</cp:lastModifiedBy>
  <cp:revision>10</cp:revision>
  <dcterms:created xsi:type="dcterms:W3CDTF">2024-12-19T13:30:00Z</dcterms:created>
  <dcterms:modified xsi:type="dcterms:W3CDTF">2024-12-21T21:31:00Z</dcterms:modified>
</cp:coreProperties>
</file>