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Sample characteristics of Indigenous business case studies (N = 67)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2655"/>
        <w:gridCol w:w="1080"/>
        <w:gridCol w:w="1080"/>
      </w:tblGrid>
      <w:tr>
        <w:trPr>
          <w:trHeight w:val="55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Graduate/Post-Graduate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64.18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13.43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17.91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Bandarban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25.37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Khagracchari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19.40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 (Inside Bangladesh)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7.46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 (Outside Bangladesh)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2.99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Rangamati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31.34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26.87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17.91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50.75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Income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Apparel and Cosmetics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E-Commerce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7.46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Business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and Agriculture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22.39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73.13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25.37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Chakma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67.16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19.40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Tanchangya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2.99</w:t>
            </w:r>
          </w:p>
        </w:tc>
      </w:tr>
      <w:tr>
        <w:trPr>
          <w:trHeight w:val="593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Ethnic group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Tripura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Percentages are within each characteristic.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2026-05-24T15:48:02Z</dcterms:modified>
  <cp:category/>
</cp:coreProperties>
</file>