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Analysis of necessary conditions for GROWTH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1"/>
        <w:gridCol w:w="1388"/>
        <w:gridCol w:w="1243"/>
        <w:gridCol w:w="1177"/>
      </w:tblGrid>
      <w:tr>
        <w:trPr>
          <w:trHeight w:val="593" w:hRule="auto"/>
          <w:tblHeader/>
        </w:trPr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Consistency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Relevance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Coverage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BEASE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0.641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0.577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BPRAC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0.312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EPSY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0.225</w:t>
            </w:r>
          </w:p>
        </w:tc>
      </w:tr>
      <w:tr>
        <w:trPr>
          <w:trHeight w:val="549" w:hRule="auto"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ENVO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0.607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0.319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Consistency &gt;= .90 is the conventional threshold for necessity. RoN = relevance of necessity.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2026-05-24T15:48:04Z</dcterms:modified>
  <cp:category/>
</cp:coreProperties>
</file>