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Sample characteristics of Indigenous business case studies (N = 67) (illustrative; mock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2277"/>
        <w:gridCol w:w="1080"/>
        <w:gridCol w:w="1080"/>
      </w:tblGrid>
      <w:tr>
        <w:trPr>
          <w:trHeight w:val="55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Graduate/Postgraduate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64.18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13.43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17.91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Bandarban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25.37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Khagrachhari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19.40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 (inside BD)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7.46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 (outside BD)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2.99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Rangamati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31.34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26.87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17.91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55.22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Apparel and Cosmetics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E-commerce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7.46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and Agriculture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22.39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73.13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25.37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Chakma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67.16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19.40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Tanchangya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2.99</w:t>
            </w:r>
          </w:p>
        </w:tc>
      </w:tr>
      <w:tr>
        <w:trPr>
          <w:trHeight w:val="593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Tripura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Percentages are within each characteristic.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Analysis of necessary conditions for GROWTH (illustrative; mock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1"/>
        <w:gridCol w:w="1388"/>
        <w:gridCol w:w="1243"/>
        <w:gridCol w:w="1177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Relevance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Coverage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0.892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</w:tr>
      <w:tr>
        <w:trPr>
          <w:trHeight w:val="549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Consistency &gt;= .90 is the conventional threshold for necessity. RoN = relevance of necessity.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Truth table of observed configurations for GROWTH (illustrative; mock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144"/>
        <w:gridCol w:w="1080"/>
        <w:gridCol w:w="1388"/>
        <w:gridCol w:w="1080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EPSY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0.613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0.827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0.857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0.935</w:t>
            </w:r>
          </w:p>
        </w:tc>
      </w:tr>
      <w:tr>
        <w:trPr>
          <w:trHeight w:val="549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0.934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1 = condition present, 0 = absent. Outcome coded using incl.cut = 0.8 and PRI cut = 0.65 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Sufficiency solutions for GROWTH (illustrative; mock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00"/>
        <w:gridCol w:w="2919"/>
        <w:gridCol w:w="1388"/>
        <w:gridCol w:w="1080"/>
        <w:gridCol w:w="1549"/>
        <w:gridCol w:w="1771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Solution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Raw coverage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Unique coverage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BEASE*FIN*~EPSY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BEASE*~BPRAC*~EPSY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BEASE*~FIN*BPRAC*EPSY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~FIN*BPRAC*EPSY*ENVO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</w:tr>
      <w:tr>
        <w:trPr>
          <w:trHeight w:val="552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Conditions within a term are joined by '*' (logical AND); '~' denotes the absence of a condition. Unique coverage &lt;= raw coverage by construction.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2026-05-24T13:57:36Z</dcterms:modified>
  <cp:category/>
</cp:coreProperties>
</file>