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Sample characteristics of Indigenous business case studies (N = 67) (illustrative; mock data)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6"/>
        <w:gridCol w:w="2277"/>
        <w:gridCol w:w="1080"/>
        <w:gridCol w:w="1080"/>
      </w:tblGrid>
      <w:tr>
        <w:trPr>
          <w:trHeight w:val="55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Level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Graduate/Postgraduate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64.18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Higher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13.43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4.48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17.91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Bandarban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13.43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Dhaka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25.37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Khagrachhari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19.40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 (inside BD)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7.46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 (outside BD)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2.99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Rangamati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31.34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Income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26.87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Income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17.91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Income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55.22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Apparel and Cosmetics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65.67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E-commerce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4.48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7.46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Business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Food and Agriculture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22.39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73.13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25.37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1.49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Chakma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67.16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19.40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Tanchangya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2.99</w:t>
            </w:r>
          </w:p>
        </w:tc>
      </w:tr>
      <w:tr>
        <w:trPr>
          <w:trHeight w:val="593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 group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Tripura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Percentages are within each characteristic.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2026-05-24T13:57:27Z</dcterms:modified>
  <cp:category/>
</cp:coreProperties>
</file>