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4. Sufficiency solutions for GROWTH (illustrative; mock data)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00"/>
        <w:gridCol w:w="2919"/>
        <w:gridCol w:w="1388"/>
        <w:gridCol w:w="1080"/>
        <w:gridCol w:w="1549"/>
        <w:gridCol w:w="1771"/>
      </w:tblGrid>
      <w:tr>
        <w:trPr>
          <w:trHeight w:val="593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Solution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Term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Consistency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PRI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Raw coverage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Unique coverage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BEASE*FIN*~EPSY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0.929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BEASE*FIN*ENVO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BEASE*~BPRAC*~EPSY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BEASE*~FIN*BPRAC*EPSY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5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Conservative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~FIN*BPRAC*EPSY*ENVO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Parsimonious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Parsimonious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Parsimonious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BPRAC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Parsimonious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0.065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</w:tr>
      <w:tr>
        <w:trPr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Intermediate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BPRAC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0.019</w:t>
            </w:r>
          </w:p>
        </w:tc>
      </w:tr>
      <w:tr>
        <w:trPr>
          <w:trHeight w:val="552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Intermediate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ENVO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0.899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0.039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Conditions within a term are joined by '*' (logical AND); '~' denotes the absence of a condition. Unique coverage &lt;= raw coverage by construction.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2026-05-24T13:57:34Z</dcterms:modified>
  <cp:category/>
</cp:coreProperties>
</file>