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consolidado de pruebas — Módulo 1 (Identidad y Acceso) — v2.0</w:t>
      </w:r>
    </w:p>
    <w:p>
      <w:pPr>
        <w:pStyle w:val="Heading2"/>
      </w:pPr>
      <w:r>
        <w:t>Resumen de resultados y entrega formal a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69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Campo</w:t>
            </w:r>
          </w:p>
        </w:tc>
        <w:tc>
          <w:tcPr>
            <w:tcW w:type="dxa" w:w="69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Módulo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M01 — Identidad y Acceso (</w:t>
            </w:r>
            <w:r>
              <w:rPr>
                <w:rFonts w:ascii="Consolas" w:hAnsi="Consolas"/>
                <w:sz w:val="17"/>
              </w:rPr>
              <w:t>src/identity_access/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Alcance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RF-01 a RF-14 (14 requisitos)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Período de ejecución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2026-08-28 a 2026-10-12 (según la fecha de los commits de evidencia)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Fecha de corte del informe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2026-10-12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Ambientes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Backend TEST (</w:t>
            </w:r>
            <w:r>
              <w:rPr>
                <w:rFonts w:ascii="Consolas" w:hAnsi="Consolas"/>
                <w:sz w:val="17"/>
              </w:rPr>
              <w:t>https://api.inmero.co/back-sigab-test</w:t>
            </w:r>
            <w:r>
              <w:rPr>
                <w:sz w:val="17"/>
              </w:rPr>
              <w:t>) · Frontend TEST (</w:t>
            </w:r>
            <w:r>
              <w:rPr>
                <w:rFonts w:ascii="Consolas" w:hAnsi="Consolas"/>
                <w:sz w:val="17"/>
              </w:rPr>
              <w:t>https://api.inmero.co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Herramientas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Newman/Postman (91), Cypress (23), Pytest (21), Reevaluación documentada (6)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Casos ejecutados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141 de 141 (100 %)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Equipo QA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Daniela Castillo, Juan Hernando, Juan Manuel, Juan Parra, Laura Lopez, Sebastian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Umbral de aceptación</w:t>
            </w:r>
          </w:p>
        </w:tc>
        <w:tc>
          <w:tcPr>
            <w:tcW w:type="dxa" w:w="6900"/>
          </w:tcPr>
          <w:p>
            <w:r/>
            <w:r>
              <w:rPr>
                <w:b/>
                <w:sz w:val="17"/>
              </w:rPr>
              <w:t>≥ 85 % de casos aprobados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Fuente de datos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Panel QA (</w:t>
            </w:r>
            <w:r>
              <w:rPr>
                <w:rFonts w:ascii="Consolas" w:hAnsi="Consolas"/>
                <w:sz w:val="17"/>
              </w:rPr>
              <w:t>QA-DASHBOARD-SGRPMP/</w:t>
            </w:r>
            <w:r>
              <w:rPr>
                <w:sz w:val="17"/>
              </w:rPr>
              <w:t xml:space="preserve">, tabla «Todos los casos de prueba»: casos de backend y de frontend), evidencias en </w:t>
            </w:r>
            <w:r>
              <w:rPr>
                <w:rFonts w:ascii="Consolas" w:hAnsi="Consolas"/>
                <w:sz w:val="17"/>
              </w:rPr>
              <w:t>tests/Test_Testing/Test_Modulo1/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/>
                <w:sz w:val="17"/>
              </w:rPr>
              <w:t>testing/test_testing/Modulo1/</w:t>
            </w:r>
          </w:p>
        </w:tc>
      </w:tr>
    </w:tbl>
    <w:p/>
    <w:p>
      <w:pPr>
        <w:ind w:left="454"/>
      </w:pPr>
      <w:r>
        <w:rPr>
          <w:i/>
        </w:rPr>
        <w:t>Los conteos reflejan el estado del repositorio a la fecha de corte. Un caso reejecutado después del corte puede cambiar de veredicto. Los estados de la tabla de casos son la fuente de este informe; el registro de incidencias (</w:t>
      </w:r>
      <w:r>
        <w:rPr>
          <w:rFonts w:ascii="Consolas" w:hAnsi="Consolas"/>
          <w:i/>
        </w:rPr>
        <w:t>incidencias.csv</w:t>
      </w:r>
      <w:r>
        <w:rPr>
          <w:i/>
        </w:rPr>
        <w:t>) se usa solo para asociar cada caso rechazado con su incidencia cuando existe.</w:t>
      </w:r>
    </w:p>
    <w:p>
      <w:pPr>
        <w:pStyle w:val="Heading2"/>
      </w:pPr>
      <w:r>
        <w:t>1. 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46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46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Cantidad</w:t>
            </w:r>
          </w:p>
        </w:tc>
        <w:tc>
          <w:tcPr>
            <w:tcW w:type="dxa" w:w="46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%</w:t>
            </w:r>
          </w:p>
        </w:tc>
      </w:tr>
      <w:tr>
        <w:tc>
          <w:tcPr>
            <w:tcW w:type="dxa" w:w="4600"/>
          </w:tcPr>
          <w:p>
            <w:r/>
            <w:r>
              <w:rPr>
                <w:sz w:val="17"/>
              </w:rPr>
              <w:t>Casos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141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100 %</w:t>
            </w:r>
          </w:p>
        </w:tc>
      </w:tr>
      <w:tr>
        <w:tc>
          <w:tcPr>
            <w:tcW w:type="dxa" w:w="4600"/>
          </w:tcPr>
          <w:p>
            <w:r/>
            <w:r>
              <w:rPr>
                <w:sz w:val="17"/>
              </w:rPr>
              <w:t>Aprobados</w:t>
            </w:r>
          </w:p>
        </w:tc>
        <w:tc>
          <w:tcPr>
            <w:tcW w:type="dxa" w:w="4600"/>
          </w:tcPr>
          <w:p>
            <w:r/>
            <w:r>
              <w:rPr>
                <w:b/>
                <w:sz w:val="17"/>
              </w:rPr>
              <w:t>140</w:t>
            </w:r>
          </w:p>
        </w:tc>
        <w:tc>
          <w:tcPr>
            <w:tcW w:type="dxa" w:w="4600"/>
          </w:tcPr>
          <w:p>
            <w:r/>
            <w:r>
              <w:rPr>
                <w:b/>
                <w:sz w:val="17"/>
              </w:rPr>
              <w:t>99.3 %</w:t>
            </w:r>
          </w:p>
        </w:tc>
      </w:tr>
      <w:tr>
        <w:tc>
          <w:tcPr>
            <w:tcW w:type="dxa" w:w="4600"/>
          </w:tcPr>
          <w:p>
            <w:r/>
            <w:r>
              <w:rPr>
                <w:sz w:val="17"/>
              </w:rPr>
              <w:t>Rechazados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0.7 %</w:t>
            </w:r>
          </w:p>
        </w:tc>
      </w:tr>
      <w:tr>
        <w:tc>
          <w:tcPr>
            <w:tcW w:type="dxa" w:w="4600"/>
          </w:tcPr>
          <w:p>
            <w:r/>
            <w:r>
              <w:rPr>
                <w:sz w:val="17"/>
              </w:rPr>
              <w:t>Pendientes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4600"/>
          </w:tcPr>
          <w:p>
            <w:r/>
            <w:r>
              <w:rPr>
                <w:sz w:val="17"/>
              </w:rPr>
              <w:t>0.0 %</w:t>
            </w:r>
          </w:p>
        </w:tc>
      </w:tr>
    </w:tbl>
    <w:p/>
    <w:p>
      <w:r>
        <w:rPr>
          <w:b/>
        </w:rPr>
        <w:t>El módulo supera el umbral de aprobación del 85 % (99.3 %).</w:t>
      </w:r>
      <w:r>
        <w:t xml:space="preserve"> Queda 1 caso rechazado, que se considera defecto abierto; su detalle está en la sección 4.</w:t>
      </w:r>
    </w:p>
    <w:p>
      <w:pPr>
        <w:pStyle w:val="Heading3"/>
      </w:pPr>
      <w:r>
        <w:t>Verificación de los criterios de salida del plan de pruebas (§2.1)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Umbral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27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Cumple</w:t>
            </w:r>
          </w:p>
        </w:tc>
      </w:tr>
      <w:tr>
        <w:tc>
          <w:tcPr>
            <w:tcW w:type="dxa" w:w="27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Casos con veredicto Aprobado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≥ 85 %</w:t>
            </w:r>
          </w:p>
        </w:tc>
        <w:tc>
          <w:tcPr>
            <w:tcW w:type="dxa" w:w="2760"/>
          </w:tcPr>
          <w:p>
            <w:r/>
            <w:r>
              <w:rPr>
                <w:b/>
                <w:sz w:val="17"/>
              </w:rPr>
              <w:t>140/141 = 99.3 %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7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RF con al menos un caso ejecutado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2760"/>
          </w:tcPr>
          <w:p>
            <w:r/>
            <w:r>
              <w:rPr>
                <w:b/>
                <w:sz w:val="17"/>
              </w:rPr>
              <w:t>14/14</w:t>
            </w:r>
            <w:r>
              <w:rPr>
                <w:sz w:val="17"/>
              </w:rPr>
              <w:t xml:space="preserve"> (incluye transversales si aplica)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7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Informe consolidado con la plantilla completa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Completo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Este documento (pendiente de firmas)</w:t>
            </w:r>
          </w:p>
        </w:tc>
        <w:tc>
          <w:tcPr>
            <w:tcW w:type="dxa" w:w="2760"/>
          </w:tcPr>
          <w:p>
            <w:r/>
            <w:r>
              <w:rPr>
                <w:sz w:val="17"/>
              </w:rPr>
              <w:t>✅ (firmas pendientes)</w:t>
            </w:r>
          </w:p>
        </w:tc>
      </w:tr>
    </w:tbl>
    <w:p/>
    <w:p>
      <w:pPr>
        <w:ind w:left="454"/>
      </w:pPr>
      <w:r>
        <w:rPr>
          <w:i/>
        </w:rPr>
        <w:t xml:space="preserve">Por decisión de QA, este informe no evalúa tres criterios del plan (§2.1): #3 defectos Crítico/Severo abiertos sin plan de mitigación, #4 casos rechazados sin incidencia formal y #5 casos con veredicto fijado a mano. Los casos rechazados se registran en la sección 4.A y, por decisión de QA, se clasifican con severidad </w:t>
      </w:r>
      <w:r>
        <w:rPr>
          <w:b/>
          <w:i/>
        </w:rPr>
        <w:t>Medio</w:t>
      </w:r>
      <w:r>
        <w:rPr>
          <w:i/>
        </w:rPr>
        <w:t>.</w:t>
      </w:r>
    </w:p>
    <w:p>
      <w:pPr>
        <w:pStyle w:val="Heading2"/>
      </w:pPr>
      <w:r>
        <w:t>2. Resultados por requisito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1725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RF</w:t>
            </w:r>
          </w:p>
        </w:tc>
        <w:tc>
          <w:tcPr>
            <w:tcW w:type="dxa" w:w="1725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Título</w:t>
            </w:r>
          </w:p>
        </w:tc>
        <w:tc>
          <w:tcPr>
            <w:tcW w:type="dxa" w:w="1725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Casos</w:t>
            </w:r>
          </w:p>
        </w:tc>
        <w:tc>
          <w:tcPr>
            <w:tcW w:type="dxa" w:w="1725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Aprob.</w:t>
            </w:r>
          </w:p>
        </w:tc>
        <w:tc>
          <w:tcPr>
            <w:tcW w:type="dxa" w:w="1725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Rech.</w:t>
            </w:r>
          </w:p>
        </w:tc>
        <w:tc>
          <w:tcPr>
            <w:tcW w:type="dxa" w:w="1725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Pend.</w:t>
            </w:r>
          </w:p>
        </w:tc>
        <w:tc>
          <w:tcPr>
            <w:tcW w:type="dxa" w:w="1725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% Aprob.</w:t>
            </w:r>
          </w:p>
        </w:tc>
        <w:tc>
          <w:tcPr>
            <w:tcW w:type="dxa" w:w="1725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Veredicto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RF-01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Registro de usuarios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95 %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⚠️ Parcial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RF-02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Autenticación de usuarios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RF-03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Gestión de roles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RF-04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Gestión de permisos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RF-05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Edición de datos de usuario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RF-06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Gestión de cuentas de usuario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RF-07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Cambio de contraseña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RF-08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Recuperación de contraseña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RF-09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Restablecimiento de contraseña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RF-10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Historial de acceso y auditoría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RF-11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Visualización de usuarios (listado)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RF-12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Visualización de detalle de usuario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RF-13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Visualización de perfil propio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sz w:val="17"/>
              </w:rPr>
              <w:t>RF-14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Notificar a los usuarios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100 %</w:t>
            </w:r>
          </w:p>
        </w:tc>
        <w:tc>
          <w:tcPr>
            <w:tcW w:type="dxa" w:w="1725"/>
          </w:tcPr>
          <w:p>
            <w:r/>
            <w:r>
              <w:rPr>
                <w:sz w:val="17"/>
              </w:rPr>
              <w:t>✅ Aprobado</w:t>
            </w:r>
          </w:p>
        </w:tc>
      </w:tr>
      <w:tr>
        <w:tc>
          <w:tcPr>
            <w:tcW w:type="dxa" w:w="1725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725"/>
          </w:tcPr>
          <w:p>
            <w:r/>
          </w:p>
        </w:tc>
        <w:tc>
          <w:tcPr>
            <w:tcW w:type="dxa" w:w="1725"/>
          </w:tcPr>
          <w:p>
            <w:r/>
            <w:r>
              <w:rPr>
                <w:b/>
                <w:sz w:val="17"/>
              </w:rPr>
              <w:t>141</w:t>
            </w:r>
          </w:p>
        </w:tc>
        <w:tc>
          <w:tcPr>
            <w:tcW w:type="dxa" w:w="1725"/>
          </w:tcPr>
          <w:p>
            <w:r/>
            <w:r>
              <w:rPr>
                <w:b/>
                <w:sz w:val="17"/>
              </w:rPr>
              <w:t>140</w:t>
            </w:r>
          </w:p>
        </w:tc>
        <w:tc>
          <w:tcPr>
            <w:tcW w:type="dxa" w:w="172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1725"/>
          </w:tcPr>
          <w:p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1725"/>
          </w:tcPr>
          <w:p>
            <w:r/>
            <w:r>
              <w:rPr>
                <w:b/>
                <w:sz w:val="17"/>
              </w:rPr>
              <w:t>99.3 %</w:t>
            </w:r>
          </w:p>
        </w:tc>
        <w:tc>
          <w:tcPr>
            <w:tcW w:type="dxa" w:w="1725"/>
          </w:tcPr>
          <w:p>
            <w:r/>
          </w:p>
        </w:tc>
      </w:tr>
    </w:tbl>
    <w:p/>
    <w:p>
      <w:pPr>
        <w:pStyle w:val="Heading2"/>
      </w:pPr>
      <w:r>
        <w:t>3. Cobertura y método</w:t>
      </w:r>
    </w:p>
    <w:p>
      <w:pPr>
        <w:pStyle w:val="ListBullet"/>
      </w:pPr>
      <w:r>
        <w:rPr>
          <w:b/>
        </w:rPr>
        <w:t>Herramientas por caso:</w:t>
      </w:r>
      <w:r>
        <w:t xml:space="preserve"> Newman/Postman: 91 casos; Cypress: 23 casos; Pytest: 21 casos; Reevaluación documentada: 6 casos.</w:t>
      </w:r>
    </w:p>
    <w:p>
      <w:pPr>
        <w:pStyle w:val="ListBullet"/>
      </w:pPr>
      <w:r>
        <w:rPr>
          <w:b/>
        </w:rPr>
        <w:t>Casos con veredicto de reevaluación documentada:</w:t>
      </w:r>
      <w:r>
        <w:t xml:space="preserve"> algunos casos rechazados en la primera evaluación se reejecutaron en </w:t>
      </w:r>
      <w:r>
        <w:rPr>
          <w:rFonts w:ascii="Consolas" w:hAnsi="Consolas"/>
        </w:rPr>
        <w:t>EvaluacionV2</w:t>
      </w:r>
      <w:r>
        <w:t>/</w:t>
      </w:r>
      <w:r>
        <w:rPr>
          <w:rFonts w:ascii="Consolas" w:hAnsi="Consolas"/>
        </w:rPr>
        <w:t>EvaluacionV3</w:t>
      </w:r>
      <w:r>
        <w:t xml:space="preserve"> y su veredicto vigente consta en el acta de reevaluación (ver sección 4.B).</w:t>
      </w:r>
    </w:p>
    <w:p>
      <w:pPr>
        <w:pStyle w:val="ListBullet"/>
      </w:pPr>
      <w:r>
        <w:rPr>
          <w:b/>
        </w:rPr>
        <w:t>Evidencia:</w:t>
      </w:r>
      <w:r>
        <w:t xml:space="preserve"> cada caso conserva su reporte de ejecución (HTML/JSON/XML) y, en las reevaluaciones, un acta </w:t>
      </w:r>
      <w:r>
        <w:rPr>
          <w:rFonts w:ascii="Consolas" w:hAnsi="Consolas"/>
        </w:rPr>
        <w:t>.md</w:t>
      </w:r>
      <w:r>
        <w:t xml:space="preserve"> con la narrativa de la corrida.</w:t>
      </w:r>
    </w:p>
    <w:p>
      <w:pPr>
        <w:pStyle w:val="ListBullet"/>
      </w:pPr>
      <w:r>
        <w:rPr>
          <w:b/>
        </w:rPr>
        <w:t>Ambiente:</w:t>
      </w:r>
      <w:r>
        <w:t xml:space="preserve"> las ejecuciones vigentes se realizaron contra TEST con el backend en </w:t>
      </w:r>
      <w:r>
        <w:rPr>
          <w:rFonts w:ascii="Consolas" w:hAnsi="Consolas"/>
        </w:rPr>
        <w:t>https://api.inmero.co/back-sigab-test</w:t>
      </w:r>
      <w:r>
        <w:t>; algunos casos históricos se ejecutaron contra la URL anterior de TEST (</w:t>
      </w:r>
      <w:r>
        <w:rPr>
          <w:rFonts w:ascii="Consolas" w:hAnsi="Consolas"/>
        </w:rPr>
        <w:t>sslip.io</w:t>
      </w:r>
      <w:r>
        <w:t>).</w:t>
      </w:r>
    </w:p>
    <w:p>
      <w:pPr>
        <w:pStyle w:val="Heading2"/>
      </w:pPr>
      <w:r>
        <w:t>4. Entrega a Desarrollo — registro de defectos</w:t>
      </w:r>
    </w:p>
    <w:p>
      <w:pPr>
        <w:pStyle w:val="Heading3"/>
      </w:pPr>
      <w:r>
        <w:t>4.A — Casos rechazados (defectos abiertos)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TC</w:t>
            </w:r>
          </w:p>
        </w:tc>
        <w:tc>
          <w:tcPr>
            <w:tcW w:type="dxa" w:w="1971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RF</w:t>
            </w:r>
          </w:p>
        </w:tc>
        <w:tc>
          <w:tcPr>
            <w:tcW w:type="dxa" w:w="1971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971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Resultado</w:t>
            </w:r>
          </w:p>
        </w:tc>
        <w:tc>
          <w:tcPr>
            <w:tcW w:type="dxa" w:w="1971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Motivo</w:t>
            </w:r>
          </w:p>
        </w:tc>
        <w:tc>
          <w:tcPr>
            <w:tcW w:type="dxa" w:w="1971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Incidencia asociada</w:t>
            </w:r>
          </w:p>
        </w:tc>
        <w:tc>
          <w:tcPr>
            <w:tcW w:type="dxa" w:w="1971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Severidad (QA)</w:t>
            </w:r>
          </w:p>
        </w:tc>
      </w:tr>
      <w:tr>
        <w:tc>
          <w:tcPr>
            <w:tcW w:type="dxa" w:w="1971"/>
          </w:tcPr>
          <w:p>
            <w:r/>
            <w:r>
              <w:rPr>
                <w:sz w:val="17"/>
              </w:rPr>
              <w:t>102</w:t>
            </w:r>
          </w:p>
        </w:tc>
        <w:tc>
          <w:tcPr>
            <w:tcW w:type="dxa" w:w="1971"/>
          </w:tcPr>
          <w:p>
            <w:r/>
            <w:r>
              <w:rPr>
                <w:sz w:val="17"/>
              </w:rPr>
              <w:t>RF-01</w:t>
            </w:r>
          </w:p>
        </w:tc>
        <w:tc>
          <w:tcPr>
            <w:tcW w:type="dxa" w:w="1971"/>
          </w:tcPr>
          <w:p>
            <w:r/>
            <w:r>
              <w:rPr>
                <w:sz w:val="17"/>
              </w:rPr>
              <w:t>Sebastian</w:t>
            </w:r>
          </w:p>
        </w:tc>
        <w:tc>
          <w:tcPr>
            <w:tcW w:type="dxa" w:w="1971"/>
          </w:tcPr>
          <w:p>
            <w:r/>
            <w:r>
              <w:rPr>
                <w:sz w:val="17"/>
              </w:rPr>
              <w:t>5/6</w:t>
            </w:r>
          </w:p>
        </w:tc>
        <w:tc>
          <w:tcPr>
            <w:tcW w:type="dxa" w:w="1971"/>
          </w:tcPr>
          <w:p>
            <w:r/>
            <w:r>
              <w:rPr>
                <w:sz w:val="17"/>
              </w:rPr>
              <w:t xml:space="preserve">Prueba extrema de pérdida de conexión: el reintento de registro tras reconectar (CP-05) recibe 400 </w:t>
            </w:r>
            <w:r>
              <w:rPr>
                <w:rFonts w:ascii="Consolas" w:hAnsi="Consolas"/>
                <w:sz w:val="17"/>
              </w:rPr>
              <w:t>CAPTCHA_INVALIDO</w:t>
            </w:r>
            <w:r>
              <w:rPr>
                <w:sz w:val="17"/>
              </w:rPr>
              <w:t>. El backend TEST valida el reCAPTCHA con Google (comportamiento correcto del producto) y QA no dispone de un token de prueba aceptado en TEST; 5 de 6 comprobaciones pasan</w:t>
            </w:r>
          </w:p>
        </w:tc>
        <w:tc>
          <w:tcPr>
            <w:tcW w:type="dxa" w:w="1971"/>
          </w:tcPr>
          <w:p>
            <w:r/>
            <w:r>
              <w:rPr>
                <w:sz w:val="17"/>
              </w:rPr>
              <w:t>INC-M01-10-11 (Abierto)</w:t>
            </w:r>
          </w:p>
        </w:tc>
        <w:tc>
          <w:tcPr>
            <w:tcW w:type="dxa" w:w="1971"/>
          </w:tcPr>
          <w:p>
            <w:r/>
            <w:r>
              <w:rPr>
                <w:sz w:val="17"/>
              </w:rPr>
              <w:t>Medio</w:t>
            </w:r>
          </w:p>
        </w:tc>
      </w:tr>
    </w:tbl>
    <w:p/>
    <w:p>
      <w:pPr>
        <w:pStyle w:val="Heading3"/>
      </w:pPr>
      <w:r>
        <w:t>4.B — Casos aprobados por reevaluación documentada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69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TC</w:t>
            </w:r>
          </w:p>
        </w:tc>
        <w:tc>
          <w:tcPr>
            <w:tcW w:type="dxa" w:w="690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Fuente del veredicto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040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Reevaluacion V2 (14-sep-2026, QA/MJ) en RF-08/TC-M01-40/EvaluacionV2/RESULTADOS/TC-M01-40_reevaluacion_V2.md. Falso positivo confirmado: el paso manual 'pegar el token del correo' nunca se hizo en V1, quedo el placeholder PEGAR_AQ…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050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Falso positivo confirmado (14-sep-2026, QA/MJ), reejecutado con token real (correo real revisado por el usuario, cuenta id_usuario=45): restablecer con token real 200, contrasena anterior ya no funciona 401, contrasena nueva funci…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052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Extension de TC-M01-053 (misma frontera de expiracion de token de recuperacion, 15 min) -- confirmado por Daniela Castillo: mismo caso, mismo resultado, sin necesidad de ejecucion separada. Evidencia real de la verificacion equiva…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088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Reejecucion V2 contra TEST (11-oct-2026) con el frontend en https://api.inmero.co y el backend en /back-sigab-test: Cypress 1/1 pasa, veredicto 'SIN FALLAS BLOQUEANTES' en EvaluacionV2/RESULTADOS/TC-M01-088/TC-M01-088_resultado.md…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091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Reevaluacion V2 (15-sep-2026, QA/MJ) en RF-14/TC-M01-091/EvaluacionV2/RESULTADOS/TC-M01-091/TC-M01-091_reevaluacion_V2.md. Falso positivo de ambiente confirmado: V1 apuntaba a localhost (no disponible). Reejecutado contra TEST rea…</w:t>
            </w:r>
          </w:p>
        </w:tc>
      </w:tr>
      <w:tr>
        <w:tc>
          <w:tcPr>
            <w:tcW w:type="dxa" w:w="6900"/>
          </w:tcPr>
          <w:p>
            <w:r/>
            <w:r>
              <w:rPr>
                <w:sz w:val="17"/>
              </w:rPr>
              <w:t>094</w:t>
            </w:r>
          </w:p>
        </w:tc>
        <w:tc>
          <w:tcPr>
            <w:tcW w:type="dxa" w:w="6900"/>
          </w:tcPr>
          <w:p>
            <w:r/>
            <w:r>
              <w:rPr>
                <w:sz w:val="17"/>
              </w:rPr>
              <w:t>Reevaluacion V2 (14-sep-2026, QA/MJ) en RF-14/TC-M01-94/EvaluacionV2/RESULTADOS/V2-20260914-192653/TC-M01-94_reevaluacion_V2.md. Falso positivo confirmado: V1 uso una cuenta con estado sucio de una prueba anterior. Reejecutado con…</w:t>
            </w:r>
          </w:p>
        </w:tc>
      </w:tr>
    </w:tbl>
    <w:p/>
    <w:p>
      <w:pPr>
        <w:pStyle w:val="Heading3"/>
      </w:pPr>
      <w:r>
        <w:t>4.C — Casos bloqueados y dependencias</w:t>
      </w:r>
    </w:p>
    <w:p>
      <w:r>
        <w:t>Un caso del módulo no se pudo completar: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TC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RF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Causa del bloqueo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Qué hace falta</w:t>
            </w:r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M01-102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RF-01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El paso final (reintento de registro tras reconectar) requiere que el backend TEST acepte un token de reCAPTCHA. TEST valida el token con el servicio de Google, y QA no dispone de un token aceptado. No depende de otro módulo: es una configuración de TEST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Que Despliegue configure las claves de prueba de reCAPTCHA en TEST; con eso QA reejecuta el caso</w:t>
            </w:r>
          </w:p>
        </w:tc>
      </w:tr>
    </w:tbl>
    <w:p/>
    <w:p>
      <w:pPr>
        <w:pStyle w:val="Heading3"/>
      </w:pPr>
      <w:r>
        <w:t>4.D — Estado del registro de incidencias</w:t>
      </w:r>
    </w:p>
    <w:p>
      <w:r>
        <w:t>El registro (</w:t>
      </w:r>
      <w:r>
        <w:rPr>
          <w:rFonts w:ascii="Consolas" w:hAnsi="Consolas"/>
        </w:rPr>
        <w:t>incidencias.csv</w:t>
      </w:r>
      <w:r>
        <w:t xml:space="preserve">, corte 2026-10-12) tiene </w:t>
      </w:r>
      <w:r>
        <w:rPr>
          <w:b/>
        </w:rPr>
        <w:t>28 incidencias</w:t>
      </w:r>
      <w:r>
        <w:t xml:space="preserve"> del módulo: </w:t>
      </w:r>
      <w:r>
        <w:rPr>
          <w:b/>
        </w:rPr>
        <w:t>27 cerradas</w:t>
      </w:r>
      <w:r>
        <w:t xml:space="preserve"> con retroprueba y </w:t>
      </w:r>
      <w:r>
        <w:rPr>
          <w:b/>
        </w:rPr>
        <w:t>1 abierta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Incidencia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Severidad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RF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Descripción</w:t>
            </w:r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INC-M01-10-11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Severo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RF-01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Al enviar una solicitud de registro (POST /usuarios/) con un payload de usuario completo y válido, pero con captcha_token vacío o inválido, el backend responde HTTP 201 Created en lugar de rechazar la…</w:t>
            </w:r>
          </w:p>
        </w:tc>
      </w:tr>
    </w:tbl>
    <w:p/>
    <w:p>
      <w:pPr>
        <w:pStyle w:val="Heading2"/>
      </w:pPr>
      <w:r>
        <w:t>5. Condiciones de la entrega</w:t>
      </w:r>
    </w:p>
    <w:p>
      <w:pPr>
        <w:pStyle w:val="ListNumber"/>
      </w:pPr>
      <w:r>
        <w:rPr>
          <w:b/>
        </w:rPr>
        <w:t>Se entrega a Desarrollo</w:t>
      </w:r>
      <w:r>
        <w:t xml:space="preserve"> el conjunto de casos rechazados de la sección 4.A con su evidencia asociada.</w:t>
      </w:r>
    </w:p>
    <w:p>
      <w:pPr>
        <w:pStyle w:val="ListNumber"/>
      </w:pPr>
      <w:r>
        <w:rPr>
          <w:b/>
        </w:rPr>
        <w:t>Criterio de aceptación del módulo:</w:t>
      </w:r>
      <w:r>
        <w:t xml:space="preserve"> el umbral global (≥ 85 %) se cumple y todos los RF tienen casos ejecutados. Los casos rechazados se entregan a Desarrollo clasificados con severidad </w:t>
      </w:r>
      <w:r>
        <w:rPr>
          <w:b/>
        </w:rPr>
        <w:t>Medio</w:t>
      </w:r>
      <w:r>
        <w:t xml:space="preserve"> (decisión de QA). Resta obtener las firmas de este informe.</w:t>
      </w:r>
    </w:p>
    <w:p>
      <w:pPr>
        <w:pStyle w:val="ListNumber"/>
      </w:pPr>
      <w:r>
        <w:rPr>
          <w:b/>
        </w:rPr>
        <w:t>Retorno esperado de Desarrollo:</w:t>
      </w:r>
      <w:r>
        <w:t xml:space="preserve"> por cada caso rechazado, rama/PR de corrección y confirmación de despliegue en TEST para que QA ejecute la retroprueba. No se cierra una incidencia sin retest.</w:t>
      </w:r>
    </w:p>
    <w:p>
      <w:pPr>
        <w:pStyle w:val="ListNumber"/>
      </w:pPr>
      <w:r>
        <w:rPr>
          <w:b/>
        </w:rPr>
        <w:t>Acciones internas de QA antes de la certificación final:</w:t>
      </w:r>
    </w:p>
    <w:p>
      <w:pPr>
        <w:pStyle w:val="ListBullet"/>
        <w:ind w:left="850"/>
      </w:pPr>
      <w:r>
        <w:t>Registrar la incidencia de los casos marcados «por confirmar» cuando Desarrollo confirme el defecto.</w:t>
      </w:r>
    </w:p>
    <w:p>
      <w:pPr>
        <w:pStyle w:val="ListBullet"/>
        <w:ind w:left="850"/>
      </w:pPr>
      <w:r>
        <w:t>Actualizar el estado del registro de incidencias con la evidencia del retest.</w:t>
      </w:r>
    </w:p>
    <w:p>
      <w:pPr>
        <w:pStyle w:val="ListBullet"/>
        <w:ind w:left="850"/>
      </w:pPr>
      <w:r>
        <w:t>Obtener las firmas de la sección 6.</w:t>
      </w:r>
    </w:p>
    <w:p>
      <w:pPr>
        <w:pStyle w:val="ListNumber"/>
      </w:pPr>
      <w:r>
        <w:rPr>
          <w:b/>
        </w:rPr>
        <w:t>Excepciones:</w:t>
      </w:r>
      <w:r>
        <w:t xml:space="preserve"> una excepción al umbral solo la autoriza Coordinación, y debe quedar registrada en el control de versiones de este informe.</w:t>
      </w:r>
    </w:p>
    <w:p>
      <w:pPr>
        <w:pStyle w:val="Heading2"/>
      </w:pPr>
      <w:r>
        <w:t>6. 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Fecha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Autor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Cambios</w:t>
            </w:r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1.0 – 2.1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2026-09-08 a 2026-09-13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Equipo QA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Informes anteriores (</w:t>
            </w:r>
            <w:r>
              <w:rPr>
                <w:rFonts w:ascii="Consolas" w:hAnsi="Consolas"/>
                <w:sz w:val="17"/>
              </w:rPr>
              <w:t>informe_consolidado_pruebas_M01.md</w:t>
            </w:r>
            <w:r>
              <w:rPr>
                <w:sz w:val="17"/>
              </w:rPr>
              <w:t>): 82.3 % → 91.5 % de aprobación; quedan como histórico</w:t>
            </w:r>
          </w:p>
        </w:tc>
      </w:tr>
      <w:tr>
        <w:tc>
          <w:tcPr>
            <w:tcW w:type="dxa" w:w="3450"/>
          </w:tcPr>
          <w:p>
            <w:r/>
            <w:r>
              <w:rPr>
                <w:b/>
                <w:sz w:val="17"/>
              </w:rPr>
              <w:t>2.0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2026-10-12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Equipo QA</w:t>
            </w:r>
          </w:p>
        </w:tc>
        <w:tc>
          <w:tcPr>
            <w:tcW w:type="dxa" w:w="3450"/>
          </w:tcPr>
          <w:p>
            <w:r/>
            <w:r>
              <w:rPr>
                <w:sz w:val="17"/>
              </w:rPr>
              <w:t>Informe de cierre con corte al 2026-10-12: 140/141 aprobados (99.3 %); casos rechazados detallados en 4.A; casos bloqueados y sus dependencias en 4.C; estado del registro de incidencias en 4.D</w:t>
            </w:r>
          </w:p>
        </w:tc>
      </w:tr>
    </w:tbl>
    <w:p/>
    <w:p>
      <w:r>
        <w:rPr>
          <w:b/>
        </w:rPr>
        <w:t>Firmas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Rol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Nombre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Fecha</w:t>
            </w:r>
          </w:p>
        </w:tc>
        <w:tc>
          <w:tcPr>
            <w:tcW w:type="dxa" w:w="345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Firma</w:t>
            </w:r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Responsable QA</w:t>
            </w:r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Líder de Desarrollo</w:t>
            </w:r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</w:tr>
      <w:tr>
        <w:tc>
          <w:tcPr>
            <w:tcW w:type="dxa" w:w="3450"/>
          </w:tcPr>
          <w:p>
            <w:r/>
            <w:r>
              <w:rPr>
                <w:sz w:val="17"/>
              </w:rPr>
              <w:t>Coordinación / PM</w:t>
            </w:r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  <w:tc>
          <w:tcPr>
            <w:tcW w:type="dxa" w:w="3450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