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b/>
          <w:bCs/>
          <w:color w:val="595959"/>
          <w:sz w:val="20"/>
          <w:szCs w:val="20"/>
        </w:rPr>
        <w:t xml:space="preserve">UNIVERSIDAD TECMILENIO — CAMPUS LAS TORRES</w:t>
      </w:r>
    </w:p>
    <w:p>
      <w:pPr>
        <w:spacing w:after="360" w:line="276"/>
        <w:jc w:val="center"/>
      </w:pPr>
      <w:r>
        <w:rPr>
          <w:color w:val="595959"/>
          <w:sz w:val="20"/>
          <w:szCs w:val="20"/>
        </w:rPr>
        <w:t xml:space="preserve">Ingeniería de Software</w:t>
      </w:r>
    </w:p>
    <w:p>
      <w:pPr>
        <w:spacing w:after="120"/>
        <w:jc w:val="center"/>
      </w:pPr>
      <w:r>
        <w:rPr>
          <w:b/>
          <w:bCs/>
          <w:color w:val="131313"/>
          <w:sz w:val="40"/>
          <w:szCs w:val="40"/>
        </w:rPr>
        <w:t xml:space="preserve">Informe de cierre del proyecto KAVI</w:t>
      </w:r>
    </w:p>
    <w:p>
      <w:pPr>
        <w:spacing w:after="420" w:line="276"/>
        <w:jc w:val="center"/>
      </w:pPr>
      <w:r>
        <w:rPr>
          <w:color w:val="595959"/>
          <w:sz w:val="24"/>
          <w:szCs w:val="24"/>
        </w:rPr>
        <w:t xml:space="preserve">Aplicación multiplataforma de planificación personal</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2600"/>
        <w:gridCol w:w="6760"/>
      </w:tblGrid>
      <w:tr>
        <w:trPr>
          <w:tblHeader/>
        </w:trPr>
        <w:tc>
          <w:tcPr>
            <w:tcW w:type="dxa" w:w="2600"/>
            <w:shd w:fill="EFEFEF" w:color="auto" w:val="clear"/>
            <w:tcMar>
              <w:top w:type="dxa" w:w="80"/>
              <w:left w:type="dxa" w:w="120"/>
              <w:bottom w:type="dxa" w:w="80"/>
              <w:right w:type="dxa" w:w="120"/>
            </w:tcMar>
          </w:tcPr>
          <w:p>
            <w:pPr>
              <w:spacing w:after="0" w:line="260"/>
            </w:pPr>
            <w:r>
              <w:rPr>
                <w:b/>
                <w:bCs/>
                <w:color w:val="131313"/>
                <w:sz w:val="20"/>
                <w:szCs w:val="20"/>
              </w:rPr>
              <w:t xml:space="preserve">Campo</w:t>
            </w:r>
          </w:p>
        </w:tc>
        <w:tc>
          <w:tcPr>
            <w:tcW w:type="dxa" w:w="6760"/>
            <w:shd w:fill="EFEFEF" w:color="auto" w:val="clear"/>
            <w:tcMar>
              <w:top w:type="dxa" w:w="80"/>
              <w:left w:type="dxa" w:w="120"/>
              <w:bottom w:type="dxa" w:w="80"/>
              <w:right w:type="dxa" w:w="120"/>
            </w:tcMar>
          </w:tcPr>
          <w:p>
            <w:pPr>
              <w:spacing w:after="0" w:line="260"/>
            </w:pPr>
            <w:r>
              <w:rPr>
                <w:b/>
                <w:bCs/>
                <w:color w:val="131313"/>
                <w:sz w:val="20"/>
                <w:szCs w:val="20"/>
              </w:rPr>
              <w:t xml:space="preserve">Dato</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Alumna</w:t>
            </w:r>
          </w:p>
        </w:tc>
        <w:tc>
          <w:tcPr>
            <w:tcW w:type="dxa" w:w="6760"/>
            <w:tcMar>
              <w:top w:type="dxa" w:w="80"/>
              <w:left w:type="dxa" w:w="120"/>
              <w:bottom w:type="dxa" w:w="80"/>
              <w:right w:type="dxa" w:w="120"/>
            </w:tcMar>
          </w:tcPr>
          <w:p>
            <w:pPr>
              <w:spacing w:after="0" w:line="260"/>
            </w:pPr>
            <w:r>
              <w:rPr>
                <w:b w:val="false"/>
                <w:bCs w:val="false"/>
                <w:color w:val="131313"/>
                <w:sz w:val="20"/>
                <w:szCs w:val="20"/>
              </w:rPr>
              <w:t xml:space="preserve">Areli Soraya Perdue Centeno</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Matrícula</w:t>
            </w:r>
          </w:p>
        </w:tc>
        <w:tc>
          <w:tcPr>
            <w:tcW w:type="dxa" w:w="6760"/>
            <w:tcMar>
              <w:top w:type="dxa" w:w="80"/>
              <w:left w:type="dxa" w:w="120"/>
              <w:bottom w:type="dxa" w:w="80"/>
              <w:right w:type="dxa" w:w="120"/>
            </w:tcMar>
          </w:tcPr>
          <w:p>
            <w:pPr>
              <w:spacing w:after="0" w:line="260"/>
            </w:pPr>
            <w:r>
              <w:rPr>
                <w:b w:val="false"/>
                <w:bCs w:val="false"/>
                <w:color w:val="131313"/>
                <w:sz w:val="20"/>
                <w:szCs w:val="20"/>
              </w:rPr>
              <w:t xml:space="preserve">AL03072223</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Docente</w:t>
            </w:r>
          </w:p>
        </w:tc>
        <w:tc>
          <w:tcPr>
            <w:tcW w:type="dxa" w:w="6760"/>
            <w:tcMar>
              <w:top w:type="dxa" w:w="80"/>
              <w:left w:type="dxa" w:w="120"/>
              <w:bottom w:type="dxa" w:w="80"/>
              <w:right w:type="dxa" w:w="120"/>
            </w:tcMar>
          </w:tcPr>
          <w:p>
            <w:pPr>
              <w:spacing w:after="0" w:line="260"/>
            </w:pPr>
            <w:r>
              <w:rPr>
                <w:b w:val="false"/>
                <w:bCs w:val="false"/>
                <w:color w:val="131313"/>
                <w:sz w:val="20"/>
                <w:szCs w:val="20"/>
              </w:rPr>
              <w:t xml:space="preserve">Ricardo Arturo Elizalde Hernández</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Periodo de desarrollo</w:t>
            </w:r>
          </w:p>
        </w:tc>
        <w:tc>
          <w:tcPr>
            <w:tcW w:type="dxa" w:w="6760"/>
            <w:tcMar>
              <w:top w:type="dxa" w:w="80"/>
              <w:left w:type="dxa" w:w="120"/>
              <w:bottom w:type="dxa" w:w="80"/>
              <w:right w:type="dxa" w:w="120"/>
            </w:tcMar>
          </w:tcPr>
          <w:p>
            <w:pPr>
              <w:spacing w:after="0" w:line="260"/>
            </w:pPr>
            <w:r>
              <w:rPr>
                <w:b w:val="false"/>
                <w:bCs w:val="false"/>
                <w:color w:val="131313"/>
                <w:sz w:val="20"/>
                <w:szCs w:val="20"/>
              </w:rPr>
              <w:t xml:space="preserve">1 al 22 de septiembre de 2026</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Repositorio</w:t>
            </w:r>
          </w:p>
        </w:tc>
        <w:tc>
          <w:tcPr>
            <w:tcW w:type="dxa" w:w="6760"/>
            <w:tcMar>
              <w:top w:type="dxa" w:w="80"/>
              <w:left w:type="dxa" w:w="120"/>
              <w:bottom w:type="dxa" w:w="80"/>
              <w:right w:type="dxa" w:w="120"/>
            </w:tcMar>
          </w:tcPr>
          <w:p>
            <w:pPr>
              <w:spacing w:after="0" w:line="260"/>
            </w:pPr>
            <w:r>
              <w:rPr>
                <w:b w:val="false"/>
                <w:bCs w:val="false"/>
                <w:color w:val="131313"/>
                <w:sz w:val="20"/>
                <w:szCs w:val="20"/>
              </w:rPr>
              <w:t xml:space="preserve">github.com/AreliPerdue/KAVI---Proyecto-IS</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Aplicación web</w:t>
            </w:r>
          </w:p>
        </w:tc>
        <w:tc>
          <w:tcPr>
            <w:tcW w:type="dxa" w:w="6760"/>
            <w:tcMar>
              <w:top w:type="dxa" w:w="80"/>
              <w:left w:type="dxa" w:w="120"/>
              <w:bottom w:type="dxa" w:w="80"/>
              <w:right w:type="dxa" w:w="120"/>
            </w:tcMar>
          </w:tcPr>
          <w:p>
            <w:pPr>
              <w:spacing w:after="0" w:line="260"/>
            </w:pPr>
            <w:r>
              <w:rPr>
                <w:b w:val="false"/>
                <w:bCs w:val="false"/>
                <w:color w:val="131313"/>
                <w:sz w:val="20"/>
                <w:szCs w:val="20"/>
              </w:rPr>
              <w:t xml:space="preserve">kavi-proyecto-is.vercel.app</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Aplicación Android</w:t>
            </w:r>
          </w:p>
        </w:tc>
        <w:tc>
          <w:tcPr>
            <w:tcW w:type="dxa" w:w="6760"/>
            <w:tcMar>
              <w:top w:type="dxa" w:w="80"/>
              <w:left w:type="dxa" w:w="120"/>
              <w:bottom w:type="dxa" w:w="80"/>
              <w:right w:type="dxa" w:w="120"/>
            </w:tcMar>
          </w:tcPr>
          <w:p>
            <w:pPr>
              <w:spacing w:after="0" w:line="260"/>
            </w:pPr>
            <w:r>
              <w:rPr>
                <w:b w:val="false"/>
                <w:bCs w:val="false"/>
                <w:color w:val="131313"/>
                <w:sz w:val="20"/>
                <w:szCs w:val="20"/>
              </w:rPr>
              <w:t xml:space="preserve">APK generado con EAS Build (version code 5)</w:t>
            </w:r>
          </w:p>
        </w:tc>
      </w:tr>
    </w:tbl>
    <w:p>
      <w:pPr>
        <w:pStyle w:val="Heading1"/>
        <w:spacing w:after="160" w:before="360"/>
      </w:pPr>
      <w:r>
        <w:rPr>
          <w:b/>
          <w:bCs/>
          <w:color w:val="131313"/>
          <w:sz w:val="30"/>
          <w:szCs w:val="30"/>
        </w:rPr>
        <w:t xml:space="preserve">1. Comparación entre la planificación y la implementación</w:t>
      </w:r>
    </w:p>
    <w:p>
      <w:pPr>
        <w:spacing w:after="120" w:line="276"/>
      </w:pPr>
      <w:r>
        <w:rPr>
          <w:color w:val="131313"/>
          <w:sz w:val="22"/>
          <w:szCs w:val="22"/>
        </w:rPr>
        <w:t xml:space="preserve">El proyecto se planificó en ocho fases sobre un cronograma del 30 de agosto al 26 de septiembre de 2026, con el calendario como componente central y la integración con el módulo de actividad física como primera extensión especializada. Esta sección contrasta lo planificado con lo efectivamente construido, tomando como fuente el archivo tasks.md del repositorio, que se actualizó tarea por tarea durante todo el desarrollo.</w:t>
      </w:r>
    </w:p>
    <w:p>
      <w:pPr>
        <w:pStyle w:val="Heading2"/>
        <w:spacing w:after="120" w:before="260"/>
      </w:pPr>
      <w:r>
        <w:rPr>
          <w:b/>
          <w:bCs/>
          <w:color w:val="131313"/>
          <w:sz w:val="25"/>
          <w:szCs w:val="25"/>
        </w:rPr>
        <w:t xml:space="preserve">1.1 Resumen cuantitativo</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5200"/>
        <w:gridCol w:w="4160"/>
      </w:tblGrid>
      <w:tr>
        <w:trPr>
          <w:tblHeader/>
        </w:trPr>
        <w:tc>
          <w:tcPr>
            <w:tcW w:type="dxa" w:w="5200"/>
            <w:shd w:fill="EFEFEF" w:color="auto" w:val="clear"/>
            <w:tcMar>
              <w:top w:type="dxa" w:w="80"/>
              <w:left w:type="dxa" w:w="120"/>
              <w:bottom w:type="dxa" w:w="80"/>
              <w:right w:type="dxa" w:w="120"/>
            </w:tcMar>
          </w:tcPr>
          <w:p>
            <w:pPr>
              <w:spacing w:after="0" w:line="260"/>
            </w:pPr>
            <w:r>
              <w:rPr>
                <w:b/>
                <w:bCs/>
                <w:color w:val="131313"/>
                <w:sz w:val="20"/>
                <w:szCs w:val="20"/>
              </w:rPr>
              <w:t xml:space="preserve">Indicador</w:t>
            </w:r>
          </w:p>
        </w:tc>
        <w:tc>
          <w:tcPr>
            <w:tcW w:type="dxa" w:w="4160"/>
            <w:shd w:fill="EFEFEF" w:color="auto" w:val="clear"/>
            <w:tcMar>
              <w:top w:type="dxa" w:w="80"/>
              <w:left w:type="dxa" w:w="120"/>
              <w:bottom w:type="dxa" w:w="80"/>
              <w:right w:type="dxa" w:w="120"/>
            </w:tcMar>
          </w:tcPr>
          <w:p>
            <w:pPr>
              <w:spacing w:after="0" w:line="260"/>
            </w:pPr>
            <w:r>
              <w:rPr>
                <w:b/>
                <w:bCs/>
                <w:color w:val="131313"/>
                <w:sz w:val="20"/>
                <w:szCs w:val="20"/>
              </w:rPr>
              <w:t xml:space="preserve">Resultado</w:t>
            </w:r>
          </w:p>
        </w:tc>
      </w:tr>
      <w:tr>
        <w:tc>
          <w:tcPr>
            <w:tcW w:type="dxa" w:w="5200"/>
            <w:tcMar>
              <w:top w:type="dxa" w:w="80"/>
              <w:left w:type="dxa" w:w="120"/>
              <w:bottom w:type="dxa" w:w="80"/>
              <w:right w:type="dxa" w:w="120"/>
            </w:tcMar>
          </w:tcPr>
          <w:p>
            <w:pPr>
              <w:spacing w:after="0" w:line="260"/>
            </w:pPr>
            <w:r>
              <w:rPr>
                <w:b w:val="false"/>
                <w:bCs w:val="false"/>
                <w:color w:val="131313"/>
                <w:sz w:val="20"/>
                <w:szCs w:val="20"/>
              </w:rPr>
              <w:t xml:space="preserve">Tareas planificadas</w:t>
            </w:r>
          </w:p>
        </w:tc>
        <w:tc>
          <w:tcPr>
            <w:tcW w:type="dxa" w:w="4160"/>
            <w:tcMar>
              <w:top w:type="dxa" w:w="80"/>
              <w:left w:type="dxa" w:w="120"/>
              <w:bottom w:type="dxa" w:w="80"/>
              <w:right w:type="dxa" w:w="120"/>
            </w:tcMar>
          </w:tcPr>
          <w:p>
            <w:pPr>
              <w:spacing w:after="0" w:line="260"/>
            </w:pPr>
            <w:r>
              <w:rPr>
                <w:b w:val="false"/>
                <w:bCs w:val="false"/>
                <w:color w:val="131313"/>
                <w:sz w:val="20"/>
                <w:szCs w:val="20"/>
              </w:rPr>
              <w:t xml:space="preserve">126</w:t>
            </w:r>
          </w:p>
        </w:tc>
      </w:tr>
      <w:tr>
        <w:tc>
          <w:tcPr>
            <w:tcW w:type="dxa" w:w="5200"/>
            <w:tcMar>
              <w:top w:type="dxa" w:w="80"/>
              <w:left w:type="dxa" w:w="120"/>
              <w:bottom w:type="dxa" w:w="80"/>
              <w:right w:type="dxa" w:w="120"/>
            </w:tcMar>
          </w:tcPr>
          <w:p>
            <w:pPr>
              <w:spacing w:after="0" w:line="260"/>
            </w:pPr>
            <w:r>
              <w:rPr>
                <w:b w:val="false"/>
                <w:bCs w:val="false"/>
                <w:color w:val="131313"/>
                <w:sz w:val="20"/>
                <w:szCs w:val="20"/>
              </w:rPr>
              <w:t xml:space="preserve">Tareas completadas</w:t>
            </w:r>
          </w:p>
        </w:tc>
        <w:tc>
          <w:tcPr>
            <w:tcW w:type="dxa" w:w="4160"/>
            <w:tcMar>
              <w:top w:type="dxa" w:w="80"/>
              <w:left w:type="dxa" w:w="120"/>
              <w:bottom w:type="dxa" w:w="80"/>
              <w:right w:type="dxa" w:w="120"/>
            </w:tcMar>
          </w:tcPr>
          <w:p>
            <w:pPr>
              <w:spacing w:after="0" w:line="260"/>
            </w:pPr>
            <w:r>
              <w:rPr>
                <w:b w:val="false"/>
                <w:bCs w:val="false"/>
                <w:color w:val="131313"/>
                <w:sz w:val="20"/>
                <w:szCs w:val="20"/>
              </w:rPr>
              <w:t xml:space="preserve">120 (95 %)</w:t>
            </w:r>
          </w:p>
        </w:tc>
      </w:tr>
      <w:tr>
        <w:tc>
          <w:tcPr>
            <w:tcW w:type="dxa" w:w="5200"/>
            <w:tcMar>
              <w:top w:type="dxa" w:w="80"/>
              <w:left w:type="dxa" w:w="120"/>
              <w:bottom w:type="dxa" w:w="80"/>
              <w:right w:type="dxa" w:w="120"/>
            </w:tcMar>
          </w:tcPr>
          <w:p>
            <w:pPr>
              <w:spacing w:after="0" w:line="260"/>
            </w:pPr>
            <w:r>
              <w:rPr>
                <w:b w:val="false"/>
                <w:bCs w:val="false"/>
                <w:color w:val="131313"/>
                <w:sz w:val="20"/>
                <w:szCs w:val="20"/>
              </w:rPr>
              <w:t xml:space="preserve">Tareas pendientes</w:t>
            </w:r>
          </w:p>
        </w:tc>
        <w:tc>
          <w:tcPr>
            <w:tcW w:type="dxa" w:w="4160"/>
            <w:tcMar>
              <w:top w:type="dxa" w:w="80"/>
              <w:left w:type="dxa" w:w="120"/>
              <w:bottom w:type="dxa" w:w="80"/>
              <w:right w:type="dxa" w:w="120"/>
            </w:tcMar>
          </w:tcPr>
          <w:p>
            <w:pPr>
              <w:spacing w:after="0" w:line="260"/>
            </w:pPr>
            <w:r>
              <w:rPr>
                <w:b w:val="false"/>
                <w:bCs w:val="false"/>
                <w:color w:val="131313"/>
                <w:sz w:val="20"/>
                <w:szCs w:val="20"/>
              </w:rPr>
              <w:t xml:space="preserve">6</w:t>
            </w:r>
          </w:p>
        </w:tc>
      </w:tr>
      <w:tr>
        <w:tc>
          <w:tcPr>
            <w:tcW w:type="dxa" w:w="5200"/>
            <w:tcMar>
              <w:top w:type="dxa" w:w="80"/>
              <w:left w:type="dxa" w:w="120"/>
              <w:bottom w:type="dxa" w:w="80"/>
              <w:right w:type="dxa" w:w="120"/>
            </w:tcMar>
          </w:tcPr>
          <w:p>
            <w:pPr>
              <w:spacing w:after="0" w:line="260"/>
            </w:pPr>
            <w:r>
              <w:rPr>
                <w:b w:val="false"/>
                <w:bCs w:val="false"/>
                <w:color w:val="131313"/>
                <w:sz w:val="20"/>
                <w:szCs w:val="20"/>
              </w:rPr>
              <w:t xml:space="preserve">Fases planificadas</w:t>
            </w:r>
          </w:p>
        </w:tc>
        <w:tc>
          <w:tcPr>
            <w:tcW w:type="dxa" w:w="4160"/>
            <w:tcMar>
              <w:top w:type="dxa" w:w="80"/>
              <w:left w:type="dxa" w:w="120"/>
              <w:bottom w:type="dxa" w:w="80"/>
              <w:right w:type="dxa" w:w="120"/>
            </w:tcMar>
          </w:tcPr>
          <w:p>
            <w:pPr>
              <w:spacing w:after="0" w:line="260"/>
            </w:pPr>
            <w:r>
              <w:rPr>
                <w:b w:val="false"/>
                <w:bCs w:val="false"/>
                <w:color w:val="131313"/>
                <w:sz w:val="20"/>
                <w:szCs w:val="20"/>
              </w:rPr>
              <w:t xml:space="preserve">8</w:t>
            </w:r>
          </w:p>
        </w:tc>
      </w:tr>
      <w:tr>
        <w:tc>
          <w:tcPr>
            <w:tcW w:type="dxa" w:w="5200"/>
            <w:tcMar>
              <w:top w:type="dxa" w:w="80"/>
              <w:left w:type="dxa" w:w="120"/>
              <w:bottom w:type="dxa" w:w="80"/>
              <w:right w:type="dxa" w:w="120"/>
            </w:tcMar>
          </w:tcPr>
          <w:p>
            <w:pPr>
              <w:spacing w:after="0" w:line="260"/>
            </w:pPr>
            <w:r>
              <w:rPr>
                <w:b w:val="false"/>
                <w:bCs w:val="false"/>
                <w:color w:val="131313"/>
                <w:sz w:val="20"/>
                <w:szCs w:val="20"/>
              </w:rPr>
              <w:t xml:space="preserve">Fases ejecutadas</w:t>
            </w:r>
          </w:p>
        </w:tc>
        <w:tc>
          <w:tcPr>
            <w:tcW w:type="dxa" w:w="4160"/>
            <w:tcMar>
              <w:top w:type="dxa" w:w="80"/>
              <w:left w:type="dxa" w:w="120"/>
              <w:bottom w:type="dxa" w:w="80"/>
              <w:right w:type="dxa" w:w="120"/>
            </w:tcMar>
          </w:tcPr>
          <w:p>
            <w:pPr>
              <w:spacing w:after="0" w:line="260"/>
            </w:pPr>
            <w:r>
              <w:rPr>
                <w:b w:val="false"/>
                <w:bCs w:val="false"/>
                <w:color w:val="131313"/>
                <w:sz w:val="20"/>
                <w:szCs w:val="20"/>
              </w:rPr>
              <w:t xml:space="preserve">9 (se añadió una no prevista)</w:t>
            </w:r>
          </w:p>
        </w:tc>
      </w:tr>
      <w:tr>
        <w:tc>
          <w:tcPr>
            <w:tcW w:type="dxa" w:w="5200"/>
            <w:tcMar>
              <w:top w:type="dxa" w:w="80"/>
              <w:left w:type="dxa" w:w="120"/>
              <w:bottom w:type="dxa" w:w="80"/>
              <w:right w:type="dxa" w:w="120"/>
            </w:tcMar>
          </w:tcPr>
          <w:p>
            <w:pPr>
              <w:spacing w:after="0" w:line="260"/>
            </w:pPr>
            <w:r>
              <w:rPr>
                <w:b w:val="false"/>
                <w:bCs w:val="false"/>
                <w:color w:val="131313"/>
                <w:sz w:val="20"/>
                <w:szCs w:val="20"/>
              </w:rPr>
              <w:t xml:space="preserve">Commits</w:t>
            </w:r>
          </w:p>
        </w:tc>
        <w:tc>
          <w:tcPr>
            <w:tcW w:type="dxa" w:w="4160"/>
            <w:tcMar>
              <w:top w:type="dxa" w:w="80"/>
              <w:left w:type="dxa" w:w="120"/>
              <w:bottom w:type="dxa" w:w="80"/>
              <w:right w:type="dxa" w:w="120"/>
            </w:tcMar>
          </w:tcPr>
          <w:p>
            <w:pPr>
              <w:spacing w:after="0" w:line="260"/>
            </w:pPr>
            <w:r>
              <w:rPr>
                <w:b w:val="false"/>
                <w:bCs w:val="false"/>
                <w:color w:val="131313"/>
                <w:sz w:val="20"/>
                <w:szCs w:val="20"/>
              </w:rPr>
              <w:t xml:space="preserve">85</w:t>
            </w:r>
          </w:p>
        </w:tc>
      </w:tr>
      <w:tr>
        <w:tc>
          <w:tcPr>
            <w:tcW w:type="dxa" w:w="5200"/>
            <w:tcMar>
              <w:top w:type="dxa" w:w="80"/>
              <w:left w:type="dxa" w:w="120"/>
              <w:bottom w:type="dxa" w:w="80"/>
              <w:right w:type="dxa" w:w="120"/>
            </w:tcMar>
          </w:tcPr>
          <w:p>
            <w:pPr>
              <w:spacing w:after="0" w:line="260"/>
            </w:pPr>
            <w:r>
              <w:rPr>
                <w:b w:val="false"/>
                <w:bCs w:val="false"/>
                <w:color w:val="131313"/>
                <w:sz w:val="20"/>
                <w:szCs w:val="20"/>
              </w:rPr>
              <w:t xml:space="preserve">Líneas de código</w:t>
            </w:r>
          </w:p>
        </w:tc>
        <w:tc>
          <w:tcPr>
            <w:tcW w:type="dxa" w:w="4160"/>
            <w:tcMar>
              <w:top w:type="dxa" w:w="80"/>
              <w:left w:type="dxa" w:w="120"/>
              <w:bottom w:type="dxa" w:w="80"/>
              <w:right w:type="dxa" w:w="120"/>
            </w:tcMar>
          </w:tcPr>
          <w:p>
            <w:pPr>
              <w:spacing w:after="0" w:line="260"/>
            </w:pPr>
            <w:r>
              <w:rPr>
                <w:b w:val="false"/>
                <w:bCs w:val="false"/>
                <w:color w:val="131313"/>
                <w:sz w:val="20"/>
                <w:szCs w:val="20"/>
              </w:rPr>
              <w:t xml:space="preserve">11 167</w:t>
            </w:r>
          </w:p>
        </w:tc>
      </w:tr>
      <w:tr>
        <w:tc>
          <w:tcPr>
            <w:tcW w:type="dxa" w:w="5200"/>
            <w:tcMar>
              <w:top w:type="dxa" w:w="80"/>
              <w:left w:type="dxa" w:w="120"/>
              <w:bottom w:type="dxa" w:w="80"/>
              <w:right w:type="dxa" w:w="120"/>
            </w:tcMar>
          </w:tcPr>
          <w:p>
            <w:pPr>
              <w:spacing w:after="0" w:line="260"/>
            </w:pPr>
            <w:r>
              <w:rPr>
                <w:b w:val="false"/>
                <w:bCs w:val="false"/>
                <w:color w:val="131313"/>
                <w:sz w:val="20"/>
                <w:szCs w:val="20"/>
              </w:rPr>
              <w:t xml:space="preserve">Pruebas unitarias</w:t>
            </w:r>
          </w:p>
        </w:tc>
        <w:tc>
          <w:tcPr>
            <w:tcW w:type="dxa" w:w="4160"/>
            <w:tcMar>
              <w:top w:type="dxa" w:w="80"/>
              <w:left w:type="dxa" w:w="120"/>
              <w:bottom w:type="dxa" w:w="80"/>
              <w:right w:type="dxa" w:w="120"/>
            </w:tcMar>
          </w:tcPr>
          <w:p>
            <w:pPr>
              <w:spacing w:after="0" w:line="260"/>
            </w:pPr>
            <w:r>
              <w:rPr>
                <w:b w:val="false"/>
                <w:bCs w:val="false"/>
                <w:color w:val="131313"/>
                <w:sz w:val="20"/>
                <w:szCs w:val="20"/>
              </w:rPr>
              <w:t xml:space="preserve">687, todas en verde</w:t>
            </w:r>
          </w:p>
        </w:tc>
      </w:tr>
    </w:tbl>
    <w:p>
      <w:pPr>
        <w:spacing w:after="200"/>
      </w:pPr>
    </w:p>
    <w:p>
      <w:pPr>
        <w:pStyle w:val="Heading2"/>
        <w:spacing w:after="120" w:before="260"/>
      </w:pPr>
      <w:r>
        <w:rPr>
          <w:b/>
          <w:bCs/>
          <w:color w:val="131313"/>
          <w:sz w:val="25"/>
          <w:szCs w:val="25"/>
        </w:rPr>
        <w:t xml:space="preserve">1.2 Alcance funcional</w:t>
      </w:r>
    </w:p>
    <w:p>
      <w:pPr>
        <w:spacing w:after="120" w:line="276"/>
      </w:pPr>
      <w:r>
        <w:rPr>
          <w:color w:val="131313"/>
          <w:sz w:val="22"/>
          <w:szCs w:val="22"/>
        </w:rPr>
        <w:t xml:space="preserve">Las seis áreas funcionales comprometidas en el avance de proyecto se entregaron completas, con una excepción parcial en compatibilidad multiplataforma.</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2800"/>
        <w:gridCol w:w="1300"/>
        <w:gridCol w:w="5260"/>
      </w:tblGrid>
      <w:tr>
        <w:trPr>
          <w:tblHeader/>
        </w:trPr>
        <w:tc>
          <w:tcPr>
            <w:tcW w:type="dxa" w:w="2800"/>
            <w:shd w:fill="EFEFEF" w:color="auto" w:val="clear"/>
            <w:tcMar>
              <w:top w:type="dxa" w:w="80"/>
              <w:left w:type="dxa" w:w="120"/>
              <w:bottom w:type="dxa" w:w="80"/>
              <w:right w:type="dxa" w:w="120"/>
            </w:tcMar>
          </w:tcPr>
          <w:p>
            <w:pPr>
              <w:spacing w:after="0" w:line="260"/>
            </w:pPr>
            <w:r>
              <w:rPr>
                <w:b/>
                <w:bCs/>
                <w:color w:val="131313"/>
                <w:sz w:val="20"/>
                <w:szCs w:val="20"/>
              </w:rPr>
              <w:t xml:space="preserve">Área comprometida</w:t>
            </w:r>
          </w:p>
        </w:tc>
        <w:tc>
          <w:tcPr>
            <w:tcW w:type="dxa" w:w="1300"/>
            <w:shd w:fill="EFEFEF" w:color="auto" w:val="clear"/>
            <w:tcMar>
              <w:top w:type="dxa" w:w="80"/>
              <w:left w:type="dxa" w:w="120"/>
              <w:bottom w:type="dxa" w:w="80"/>
              <w:right w:type="dxa" w:w="120"/>
            </w:tcMar>
          </w:tcPr>
          <w:p>
            <w:pPr>
              <w:spacing w:after="0" w:line="260"/>
            </w:pPr>
            <w:r>
              <w:rPr>
                <w:b/>
                <w:bCs/>
                <w:color w:val="131313"/>
                <w:sz w:val="20"/>
                <w:szCs w:val="20"/>
              </w:rPr>
              <w:t xml:space="preserve">Estado</w:t>
            </w:r>
          </w:p>
        </w:tc>
        <w:tc>
          <w:tcPr>
            <w:tcW w:type="dxa" w:w="5260"/>
            <w:shd w:fill="EFEFEF" w:color="auto" w:val="clear"/>
            <w:tcMar>
              <w:top w:type="dxa" w:w="80"/>
              <w:left w:type="dxa" w:w="120"/>
              <w:bottom w:type="dxa" w:w="80"/>
              <w:right w:type="dxa" w:w="120"/>
            </w:tcMar>
          </w:tcPr>
          <w:p>
            <w:pPr>
              <w:spacing w:after="0" w:line="260"/>
            </w:pPr>
            <w:r>
              <w:rPr>
                <w:b/>
                <w:bCs/>
                <w:color w:val="131313"/>
                <w:sz w:val="20"/>
                <w:szCs w:val="20"/>
              </w:rPr>
              <w:t xml:space="preserve">Observación</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Gestión de usuarios y autenticación</w:t>
            </w:r>
          </w:p>
        </w:tc>
        <w:tc>
          <w:tcPr>
            <w:tcW w:type="dxa" w:w="1300"/>
            <w:tcMar>
              <w:top w:type="dxa" w:w="80"/>
              <w:left w:type="dxa" w:w="120"/>
              <w:bottom w:type="dxa" w:w="80"/>
              <w:right w:type="dxa" w:w="120"/>
            </w:tcMar>
          </w:tcPr>
          <w:p>
            <w:pPr>
              <w:spacing w:after="0" w:line="260"/>
            </w:pPr>
            <w:r>
              <w:rPr>
                <w:b w:val="false"/>
                <w:bCs w:val="false"/>
                <w:color w:val="131313"/>
                <w:sz w:val="20"/>
                <w:szCs w:val="20"/>
              </w:rPr>
              <w:t xml:space="preserve">Completa</w:t>
            </w:r>
          </w:p>
        </w:tc>
        <w:tc>
          <w:tcPr>
            <w:tcW w:type="dxa" w:w="5260"/>
            <w:tcMar>
              <w:top w:type="dxa" w:w="80"/>
              <w:left w:type="dxa" w:w="120"/>
              <w:bottom w:type="dxa" w:w="80"/>
              <w:right w:type="dxa" w:w="120"/>
            </w:tcMar>
          </w:tcPr>
          <w:p>
            <w:pPr>
              <w:spacing w:after="0" w:line="260"/>
            </w:pPr>
            <w:r>
              <w:rPr>
                <w:b w:val="false"/>
                <w:bCs w:val="false"/>
                <w:color w:val="131313"/>
                <w:sz w:val="20"/>
                <w:szCs w:val="20"/>
              </w:rPr>
              <w:t xml:space="preserve">Registro por pasos con código de un solo uso, sesión persistente y edición de perfil</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Gestión del calendario</w:t>
            </w:r>
          </w:p>
        </w:tc>
        <w:tc>
          <w:tcPr>
            <w:tcW w:type="dxa" w:w="1300"/>
            <w:tcMar>
              <w:top w:type="dxa" w:w="80"/>
              <w:left w:type="dxa" w:w="120"/>
              <w:bottom w:type="dxa" w:w="80"/>
              <w:right w:type="dxa" w:w="120"/>
            </w:tcMar>
          </w:tcPr>
          <w:p>
            <w:pPr>
              <w:spacing w:after="0" w:line="260"/>
            </w:pPr>
            <w:r>
              <w:rPr>
                <w:b w:val="false"/>
                <w:bCs w:val="false"/>
                <w:color w:val="131313"/>
                <w:sz w:val="20"/>
                <w:szCs w:val="20"/>
              </w:rPr>
              <w:t xml:space="preserve">Completa</w:t>
            </w:r>
          </w:p>
        </w:tc>
        <w:tc>
          <w:tcPr>
            <w:tcW w:type="dxa" w:w="5260"/>
            <w:tcMar>
              <w:top w:type="dxa" w:w="80"/>
              <w:left w:type="dxa" w:w="120"/>
              <w:bottom w:type="dxa" w:w="80"/>
              <w:right w:type="dxa" w:w="120"/>
            </w:tcMar>
          </w:tcPr>
          <w:p>
            <w:pPr>
              <w:spacing w:after="0" w:line="260"/>
            </w:pPr>
            <w:r>
              <w:rPr>
                <w:b w:val="false"/>
                <w:bCs w:val="false"/>
                <w:color w:val="131313"/>
                <w:sz w:val="20"/>
                <w:szCs w:val="20"/>
              </w:rPr>
              <w:t xml:space="preserve">Vistas mensual, semanal y diaria; alta, edición, borrado, recurrencia y filtros</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Clasificación por dimensiones</w:t>
            </w:r>
          </w:p>
        </w:tc>
        <w:tc>
          <w:tcPr>
            <w:tcW w:type="dxa" w:w="1300"/>
            <w:tcMar>
              <w:top w:type="dxa" w:w="80"/>
              <w:left w:type="dxa" w:w="120"/>
              <w:bottom w:type="dxa" w:w="80"/>
              <w:right w:type="dxa" w:w="120"/>
            </w:tcMar>
          </w:tcPr>
          <w:p>
            <w:pPr>
              <w:spacing w:after="0" w:line="260"/>
            </w:pPr>
            <w:r>
              <w:rPr>
                <w:b w:val="false"/>
                <w:bCs w:val="false"/>
                <w:color w:val="131313"/>
                <w:sz w:val="20"/>
                <w:szCs w:val="20"/>
              </w:rPr>
              <w:t xml:space="preserve">Completa</w:t>
            </w:r>
          </w:p>
        </w:tc>
        <w:tc>
          <w:tcPr>
            <w:tcW w:type="dxa" w:w="5260"/>
            <w:tcMar>
              <w:top w:type="dxa" w:w="80"/>
              <w:left w:type="dxa" w:w="120"/>
              <w:bottom w:type="dxa" w:w="80"/>
              <w:right w:type="dxa" w:w="120"/>
            </w:tcMar>
          </w:tcPr>
          <w:p>
            <w:pPr>
              <w:spacing w:after="0" w:line="260"/>
            </w:pPr>
            <w:r>
              <w:rPr>
                <w:b w:val="false"/>
                <w:bCs w:val="false"/>
                <w:color w:val="131313"/>
                <w:sz w:val="20"/>
                <w:szCs w:val="20"/>
              </w:rPr>
              <w:t xml:space="preserve">Las siete dimensiones del bienestar, con filtrado y color asociado</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Calendario compartido</w:t>
            </w:r>
          </w:p>
        </w:tc>
        <w:tc>
          <w:tcPr>
            <w:tcW w:type="dxa" w:w="1300"/>
            <w:tcMar>
              <w:top w:type="dxa" w:w="80"/>
              <w:left w:type="dxa" w:w="120"/>
              <w:bottom w:type="dxa" w:w="80"/>
              <w:right w:type="dxa" w:w="120"/>
            </w:tcMar>
          </w:tcPr>
          <w:p>
            <w:pPr>
              <w:spacing w:after="0" w:line="260"/>
            </w:pPr>
            <w:r>
              <w:rPr>
                <w:b w:val="false"/>
                <w:bCs w:val="false"/>
                <w:color w:val="131313"/>
                <w:sz w:val="20"/>
                <w:szCs w:val="20"/>
              </w:rPr>
              <w:t xml:space="preserve">Completa</w:t>
            </w:r>
          </w:p>
        </w:tc>
        <w:tc>
          <w:tcPr>
            <w:tcW w:type="dxa" w:w="5260"/>
            <w:tcMar>
              <w:top w:type="dxa" w:w="80"/>
              <w:left w:type="dxa" w:w="120"/>
              <w:bottom w:type="dxa" w:w="80"/>
              <w:right w:type="dxa" w:w="120"/>
            </w:tcMar>
          </w:tcPr>
          <w:p>
            <w:pPr>
              <w:spacing w:after="0" w:line="260"/>
            </w:pPr>
            <w:r>
              <w:rPr>
                <w:b w:val="false"/>
                <w:bCs w:val="false"/>
                <w:color w:val="131313"/>
                <w:sz w:val="20"/>
                <w:szCs w:val="20"/>
              </w:rPr>
              <w:t xml:space="preserve">Contactos, niveles de visibilidad, disponibilidad y horarios en común</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Integración con bienestar físico</w:t>
            </w:r>
          </w:p>
        </w:tc>
        <w:tc>
          <w:tcPr>
            <w:tcW w:type="dxa" w:w="1300"/>
            <w:tcMar>
              <w:top w:type="dxa" w:w="80"/>
              <w:left w:type="dxa" w:w="120"/>
              <w:bottom w:type="dxa" w:w="80"/>
              <w:right w:type="dxa" w:w="120"/>
            </w:tcMar>
          </w:tcPr>
          <w:p>
            <w:pPr>
              <w:spacing w:after="0" w:line="260"/>
            </w:pPr>
            <w:r>
              <w:rPr>
                <w:b w:val="false"/>
                <w:bCs w:val="false"/>
                <w:color w:val="131313"/>
                <w:sz w:val="20"/>
                <w:szCs w:val="20"/>
              </w:rPr>
              <w:t xml:space="preserve">Completa</w:t>
            </w:r>
          </w:p>
        </w:tc>
        <w:tc>
          <w:tcPr>
            <w:tcW w:type="dxa" w:w="5260"/>
            <w:tcMar>
              <w:top w:type="dxa" w:w="80"/>
              <w:left w:type="dxa" w:w="120"/>
              <w:bottom w:type="dxa" w:w="80"/>
              <w:right w:type="dxa" w:w="120"/>
            </w:tcMar>
          </w:tcPr>
          <w:p>
            <w:pPr>
              <w:spacing w:after="0" w:line="260"/>
            </w:pPr>
            <w:r>
              <w:rPr>
                <w:b w:val="false"/>
                <w:bCs w:val="false"/>
                <w:color w:val="131313"/>
                <w:sz w:val="20"/>
                <w:szCs w:val="20"/>
              </w:rPr>
              <w:t xml:space="preserve">Registro de entrenamientos con ejercicios, series, repeticiones, peso y duración</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Compatibilidad multiplataforma</w:t>
            </w:r>
          </w:p>
        </w:tc>
        <w:tc>
          <w:tcPr>
            <w:tcW w:type="dxa" w:w="1300"/>
            <w:tcMar>
              <w:top w:type="dxa" w:w="80"/>
              <w:left w:type="dxa" w:w="120"/>
              <w:bottom w:type="dxa" w:w="80"/>
              <w:right w:type="dxa" w:w="120"/>
            </w:tcMar>
          </w:tcPr>
          <w:p>
            <w:pPr>
              <w:spacing w:after="0" w:line="260"/>
            </w:pPr>
            <w:r>
              <w:rPr>
                <w:b w:val="false"/>
                <w:bCs w:val="false"/>
                <w:color w:val="131313"/>
                <w:sz w:val="20"/>
                <w:szCs w:val="20"/>
              </w:rPr>
              <w:t xml:space="preserve">Parcial</w:t>
            </w:r>
          </w:p>
        </w:tc>
        <w:tc>
          <w:tcPr>
            <w:tcW w:type="dxa" w:w="5260"/>
            <w:tcMar>
              <w:top w:type="dxa" w:w="80"/>
              <w:left w:type="dxa" w:w="120"/>
              <w:bottom w:type="dxa" w:w="80"/>
              <w:right w:type="dxa" w:w="120"/>
            </w:tcMar>
          </w:tcPr>
          <w:p>
            <w:pPr>
              <w:spacing w:after="0" w:line="260"/>
            </w:pPr>
            <w:r>
              <w:rPr>
                <w:b w:val="false"/>
                <w:bCs w:val="false"/>
                <w:color w:val="131313"/>
                <w:sz w:val="20"/>
                <w:szCs w:val="20"/>
              </w:rPr>
              <w:t xml:space="preserve">Web y Android compilados y verificados; iOS no compilado</w:t>
            </w:r>
          </w:p>
        </w:tc>
      </w:tr>
    </w:tbl>
    <w:p>
      <w:pPr>
        <w:spacing w:after="200"/>
      </w:pPr>
    </w:p>
    <w:p>
      <w:pPr>
        <w:pStyle w:val="Heading2"/>
        <w:spacing w:after="120" w:before="260"/>
      </w:pPr>
      <w:r>
        <w:rPr>
          <w:b/>
          <w:bCs/>
          <w:color w:val="131313"/>
          <w:sz w:val="25"/>
          <w:szCs w:val="25"/>
        </w:rPr>
        <w:t xml:space="preserve">1.3 Desviaciones respecto al plan</w:t>
      </w:r>
    </w:p>
    <w:p>
      <w:pPr>
        <w:spacing w:after="120" w:line="276"/>
      </w:pPr>
      <w:r>
        <w:rPr>
          <w:color w:val="131313"/>
          <w:sz w:val="22"/>
          <w:szCs w:val="22"/>
        </w:rPr>
        <w:t xml:space="preserve">Las desviaciones siguientes se documentaron en el momento de tomarlas, junto con su justificación técnica. Ninguna redujo el alcance comprometido.</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2600"/>
        <w:gridCol w:w="2800"/>
        <w:gridCol w:w="3960"/>
      </w:tblGrid>
      <w:tr>
        <w:trPr>
          <w:tblHeader/>
        </w:trPr>
        <w:tc>
          <w:tcPr>
            <w:tcW w:type="dxa" w:w="2600"/>
            <w:shd w:fill="EFEFEF" w:color="auto" w:val="clear"/>
            <w:tcMar>
              <w:top w:type="dxa" w:w="80"/>
              <w:left w:type="dxa" w:w="120"/>
              <w:bottom w:type="dxa" w:w="80"/>
              <w:right w:type="dxa" w:w="120"/>
            </w:tcMar>
          </w:tcPr>
          <w:p>
            <w:pPr>
              <w:spacing w:after="0" w:line="260"/>
            </w:pPr>
            <w:r>
              <w:rPr>
                <w:b/>
                <w:bCs/>
                <w:color w:val="131313"/>
                <w:sz w:val="20"/>
                <w:szCs w:val="20"/>
              </w:rPr>
              <w:t xml:space="preserve">Decisión planificada</w:t>
            </w:r>
          </w:p>
        </w:tc>
        <w:tc>
          <w:tcPr>
            <w:tcW w:type="dxa" w:w="2800"/>
            <w:shd w:fill="EFEFEF" w:color="auto" w:val="clear"/>
            <w:tcMar>
              <w:top w:type="dxa" w:w="80"/>
              <w:left w:type="dxa" w:w="120"/>
              <w:bottom w:type="dxa" w:w="80"/>
              <w:right w:type="dxa" w:w="120"/>
            </w:tcMar>
          </w:tcPr>
          <w:p>
            <w:pPr>
              <w:spacing w:after="0" w:line="260"/>
            </w:pPr>
            <w:r>
              <w:rPr>
                <w:b/>
                <w:bCs/>
                <w:color w:val="131313"/>
                <w:sz w:val="20"/>
                <w:szCs w:val="20"/>
              </w:rPr>
              <w:t xml:space="preserve">Lo que se hizo</w:t>
            </w:r>
          </w:p>
        </w:tc>
        <w:tc>
          <w:tcPr>
            <w:tcW w:type="dxa" w:w="3960"/>
            <w:shd w:fill="EFEFEF" w:color="auto" w:val="clear"/>
            <w:tcMar>
              <w:top w:type="dxa" w:w="80"/>
              <w:left w:type="dxa" w:w="120"/>
              <w:bottom w:type="dxa" w:w="80"/>
              <w:right w:type="dxa" w:w="120"/>
            </w:tcMar>
          </w:tcPr>
          <w:p>
            <w:pPr>
              <w:spacing w:after="0" w:line="260"/>
            </w:pPr>
            <w:r>
              <w:rPr>
                <w:b/>
                <w:bCs/>
                <w:color w:val="131313"/>
                <w:sz w:val="20"/>
                <w:szCs w:val="20"/>
              </w:rPr>
              <w:t xml:space="preserve">Motivo</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Recurrencia expandida con una función PL/pgSQL en la base (plan §4)</w:t>
            </w:r>
          </w:p>
        </w:tc>
        <w:tc>
          <w:tcPr>
            <w:tcW w:type="dxa" w:w="2800"/>
            <w:tcMar>
              <w:top w:type="dxa" w:w="80"/>
              <w:left w:type="dxa" w:w="120"/>
              <w:bottom w:type="dxa" w:w="80"/>
              <w:right w:type="dxa" w:w="120"/>
            </w:tcMar>
          </w:tcPr>
          <w:p>
            <w:pPr>
              <w:spacing w:after="0" w:line="260"/>
            </w:pPr>
            <w:r>
              <w:rPr>
                <w:b w:val="false"/>
                <w:bCs w:val="false"/>
                <w:color w:val="131313"/>
                <w:sz w:val="20"/>
                <w:szCs w:val="20"/>
              </w:rPr>
              <w:t xml:space="preserve">Se materializa en el cliente, reutilizando lib/recurrence.ts</w:t>
            </w:r>
          </w:p>
        </w:tc>
        <w:tc>
          <w:tcPr>
            <w:tcW w:type="dxa" w:w="3960"/>
            <w:tcMar>
              <w:top w:type="dxa" w:w="80"/>
              <w:left w:type="dxa" w:w="120"/>
              <w:bottom w:type="dxa" w:w="80"/>
              <w:right w:type="dxa" w:w="120"/>
            </w:tcMar>
          </w:tcPr>
          <w:p>
            <w:pPr>
              <w:spacing w:after="0" w:line="260"/>
            </w:pPr>
            <w:r>
              <w:rPr>
                <w:b w:val="false"/>
                <w:bCs w:val="false"/>
                <w:color w:val="131313"/>
                <w:sz w:val="20"/>
                <w:szCs w:val="20"/>
              </w:rPr>
              <w:t xml:space="preserve">Traducir la regla a un segundo lenguaje habría permitido que el backend real y el backend de desarrollo se comportaran distinto</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Tipos de la base generados con supabase gen types</w:t>
            </w:r>
          </w:p>
        </w:tc>
        <w:tc>
          <w:tcPr>
            <w:tcW w:type="dxa" w:w="2800"/>
            <w:tcMar>
              <w:top w:type="dxa" w:w="80"/>
              <w:left w:type="dxa" w:w="120"/>
              <w:bottom w:type="dxa" w:w="80"/>
              <w:right w:type="dxa" w:w="120"/>
            </w:tcMar>
          </w:tcPr>
          <w:p>
            <w:pPr>
              <w:spacing w:after="0" w:line="260"/>
            </w:pPr>
            <w:r>
              <w:rPr>
                <w:b w:val="false"/>
                <w:bCs w:val="false"/>
                <w:color w:val="131313"/>
                <w:sz w:val="20"/>
                <w:szCs w:val="20"/>
              </w:rPr>
              <w:t xml:space="preserve">Generados por introspección del esquema</w:t>
            </w:r>
          </w:p>
        </w:tc>
        <w:tc>
          <w:tcPr>
            <w:tcW w:type="dxa" w:w="3960"/>
            <w:tcMar>
              <w:top w:type="dxa" w:w="80"/>
              <w:left w:type="dxa" w:w="120"/>
              <w:bottom w:type="dxa" w:w="80"/>
              <w:right w:type="dxa" w:w="120"/>
            </w:tcMar>
          </w:tcPr>
          <w:p>
            <w:pPr>
              <w:spacing w:after="0" w:line="260"/>
            </w:pPr>
            <w:r>
              <w:rPr>
                <w:b w:val="false"/>
                <w:bCs w:val="false"/>
                <w:color w:val="131313"/>
                <w:sz w:val="20"/>
                <w:szCs w:val="20"/>
              </w:rPr>
              <w:t xml:space="preserve">La herramienta exige Docker, no disponible en el equipo de desarrollo</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Ocho fases consecutivas</w:t>
            </w:r>
          </w:p>
        </w:tc>
        <w:tc>
          <w:tcPr>
            <w:tcW w:type="dxa" w:w="2800"/>
            <w:tcMar>
              <w:top w:type="dxa" w:w="80"/>
              <w:left w:type="dxa" w:w="120"/>
              <w:bottom w:type="dxa" w:w="80"/>
              <w:right w:type="dxa" w:w="120"/>
            </w:tcMar>
          </w:tcPr>
          <w:p>
            <w:pPr>
              <w:spacing w:after="0" w:line="260"/>
            </w:pPr>
            <w:r>
              <w:rPr>
                <w:b w:val="false"/>
                <w:bCs w:val="false"/>
                <w:color w:val="131313"/>
                <w:sz w:val="20"/>
                <w:szCs w:val="20"/>
              </w:rPr>
              <w:t xml:space="preserve">Se insertó la fase 7b el 2 de septiembre</w:t>
            </w:r>
          </w:p>
        </w:tc>
        <w:tc>
          <w:tcPr>
            <w:tcW w:type="dxa" w:w="3960"/>
            <w:tcMar>
              <w:top w:type="dxa" w:w="80"/>
              <w:left w:type="dxa" w:w="120"/>
              <w:bottom w:type="dxa" w:w="80"/>
              <w:right w:type="dxa" w:w="120"/>
            </w:tcMar>
          </w:tcPr>
          <w:p>
            <w:pPr>
              <w:spacing w:after="0" w:line="260"/>
            </w:pPr>
            <w:r>
              <w:rPr>
                <w:b w:val="false"/>
                <w:bCs w:val="false"/>
                <w:color w:val="131313"/>
                <w:sz w:val="20"/>
                <w:szCs w:val="20"/>
              </w:rPr>
              <w:t xml:space="preserve">Revisión de usabilidad del calendario: la vista mensual y el selector de hora no resultaban claros al usarlos</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Notificaciones locales con expo-notifications</w:t>
            </w:r>
          </w:p>
        </w:tc>
        <w:tc>
          <w:tcPr>
            <w:tcW w:type="dxa" w:w="2800"/>
            <w:tcMar>
              <w:top w:type="dxa" w:w="80"/>
              <w:left w:type="dxa" w:w="120"/>
              <w:bottom w:type="dxa" w:w="80"/>
              <w:right w:type="dxa" w:w="120"/>
            </w:tcMar>
          </w:tcPr>
          <w:p>
            <w:pPr>
              <w:spacing w:after="0" w:line="260"/>
            </w:pPr>
            <w:r>
              <w:rPr>
                <w:b w:val="false"/>
                <w:bCs w:val="false"/>
                <w:color w:val="131313"/>
                <w:sz w:val="20"/>
                <w:szCs w:val="20"/>
              </w:rPr>
              <w:t xml:space="preserve">Funcionalidad deshabilitada</w:t>
            </w:r>
          </w:p>
        </w:tc>
        <w:tc>
          <w:tcPr>
            <w:tcW w:type="dxa" w:w="3960"/>
            <w:tcMar>
              <w:top w:type="dxa" w:w="80"/>
              <w:left w:type="dxa" w:w="120"/>
              <w:bottom w:type="dxa" w:w="80"/>
              <w:right w:type="dxa" w:w="120"/>
            </w:tcMar>
          </w:tcPr>
          <w:p>
            <w:pPr>
              <w:spacing w:after="0" w:line="260"/>
            </w:pPr>
            <w:r>
              <w:rPr>
                <w:b w:val="false"/>
                <w:bCs w:val="false"/>
                <w:color w:val="131313"/>
                <w:sz w:val="20"/>
                <w:szCs w:val="20"/>
              </w:rPr>
              <w:t xml:space="preserve">La biblioteca resultó incompatible con la versión del SDK utilizada; se aisló tras una interfaz que permite reactivarla</w:t>
            </w:r>
          </w:p>
        </w:tc>
      </w:tr>
      <w:tr>
        <w:tc>
          <w:tcPr>
            <w:tcW w:type="dxa" w:w="2600"/>
            <w:tcMar>
              <w:top w:type="dxa" w:w="80"/>
              <w:left w:type="dxa" w:w="120"/>
              <w:bottom w:type="dxa" w:w="80"/>
              <w:right w:type="dxa" w:w="120"/>
            </w:tcMar>
          </w:tcPr>
          <w:p>
            <w:pPr>
              <w:spacing w:after="0" w:line="260"/>
            </w:pPr>
            <w:r>
              <w:rPr>
                <w:b w:val="false"/>
                <w:bCs w:val="false"/>
                <w:color w:val="131313"/>
                <w:sz w:val="20"/>
                <w:szCs w:val="20"/>
              </w:rPr>
              <w:t xml:space="preserve">Integración del backend distribuida entre fases</w:t>
            </w:r>
          </w:p>
        </w:tc>
        <w:tc>
          <w:tcPr>
            <w:tcW w:type="dxa" w:w="2800"/>
            <w:tcMar>
              <w:top w:type="dxa" w:w="80"/>
              <w:left w:type="dxa" w:w="120"/>
              <w:bottom w:type="dxa" w:w="80"/>
              <w:right w:type="dxa" w:w="120"/>
            </w:tcMar>
          </w:tcPr>
          <w:p>
            <w:pPr>
              <w:spacing w:after="0" w:line="260"/>
            </w:pPr>
            <w:r>
              <w:rPr>
                <w:b w:val="false"/>
                <w:bCs w:val="false"/>
                <w:color w:val="131313"/>
                <w:sz w:val="20"/>
                <w:szCs w:val="20"/>
              </w:rPr>
              <w:t xml:space="preserve">Frontend completo primero sobre un backend en memoria, integración real concentrada al final</w:t>
            </w:r>
          </w:p>
        </w:tc>
        <w:tc>
          <w:tcPr>
            <w:tcW w:type="dxa" w:w="3960"/>
            <w:tcMar>
              <w:top w:type="dxa" w:w="80"/>
              <w:left w:type="dxa" w:w="120"/>
              <w:bottom w:type="dxa" w:w="80"/>
              <w:right w:type="dxa" w:w="120"/>
            </w:tcMar>
          </w:tcPr>
          <w:p>
            <w:pPr>
              <w:spacing w:after="0" w:line="260"/>
            </w:pPr>
            <w:r>
              <w:rPr>
                <w:b w:val="false"/>
                <w:bCs w:val="false"/>
                <w:color w:val="131313"/>
                <w:sz w:val="20"/>
                <w:szCs w:val="20"/>
              </w:rPr>
              <w:t xml:space="preserve">Permitió avanzar sin depender de la base de datos, a costa de concentrar el riesgo de integración</w:t>
            </w:r>
          </w:p>
        </w:tc>
      </w:tr>
    </w:tbl>
    <w:p>
      <w:pPr>
        <w:spacing w:after="200"/>
      </w:pPr>
    </w:p>
    <w:p>
      <w:pPr>
        <w:pStyle w:val="Heading2"/>
        <w:spacing w:after="120" w:before="260"/>
      </w:pPr>
      <w:r>
        <w:rPr>
          <w:b/>
          <w:bCs/>
          <w:color w:val="131313"/>
          <w:sz w:val="25"/>
          <w:szCs w:val="25"/>
        </w:rPr>
        <w:t xml:space="preserve">1.4 Incidencias detectadas durante el desarrollo</w:t>
      </w:r>
    </w:p>
    <w:p>
      <w:pPr>
        <w:spacing w:after="120" w:line="276"/>
      </w:pPr>
      <w:r>
        <w:rPr>
          <w:color w:val="131313"/>
          <w:sz w:val="22"/>
          <w:szCs w:val="22"/>
        </w:rPr>
        <w:t xml:space="preserve">Tres hallazgos merecen registro porque no provenían del plan sino de revisar lo ya construido:</w:t>
      </w:r>
    </w:p>
    <w:p>
      <w:pPr>
        <w:pStyle w:val="ListParagraph"/>
        <w:numPr>
          <w:ilvl w:val="0"/>
          <w:numId w:val="2"/>
        </w:numPr>
        <w:spacing w:after="100" w:line="276"/>
      </w:pPr>
      <w:r>
        <w:rPr>
          <w:color w:val="131313"/>
          <w:sz w:val="22"/>
          <w:szCs w:val="22"/>
        </w:rPr>
        <w:t xml:space="preserve">Un archivo con credenciales se había incorporado al control de versiones por una sección vacía en la configuración de exclusiones. Se retiró del índice y se corrigió la configuración.</w:t>
      </w:r>
    </w:p>
    <w:p>
      <w:pPr>
        <w:pStyle w:val="ListParagraph"/>
        <w:numPr>
          <w:ilvl w:val="0"/>
          <w:numId w:val="2"/>
        </w:numPr>
        <w:spacing w:after="100" w:line="276"/>
      </w:pPr>
      <w:r>
        <w:rPr>
          <w:color w:val="131313"/>
          <w:sz w:val="22"/>
          <w:szCs w:val="22"/>
        </w:rPr>
        <w:t xml:space="preserve">Al sondear el proyecto ya desplegado se detectó que las funciones nuevas de la base concedían permiso de ejecución a usuarios sin autenticar por comportamiento predeterminado del proveedor. Se revocó explícitamente en todas salvo la que el alta necesita sin sesión.</w:t>
      </w:r>
    </w:p>
    <w:p>
      <w:pPr>
        <w:pStyle w:val="ListParagraph"/>
        <w:numPr>
          <w:ilvl w:val="0"/>
          <w:numId w:val="2"/>
        </w:numPr>
        <w:spacing w:after="100" w:line="276"/>
      </w:pPr>
      <w:r>
        <w:rPr>
          <w:color w:val="131313"/>
          <w:sz w:val="22"/>
          <w:szCs w:val="22"/>
        </w:rPr>
        <w:t xml:space="preserve">Una restricción de la base impedía añadir ejercicios a un entrenamiento, porque la interfaz crea la tarjeta vacía para escribir dentro. Se ajustó la restricción.</w:t>
      </w:r>
    </w:p>
    <w:p>
      <w:pPr>
        <w:spacing w:after="200"/>
      </w:pPr>
    </w:p>
    <w:p>
      <w:pPr>
        <w:pStyle w:val="Heading2"/>
        <w:spacing w:after="120" w:before="260"/>
      </w:pPr>
      <w:r>
        <w:rPr>
          <w:b/>
          <w:bCs/>
          <w:color w:val="131313"/>
          <w:sz w:val="25"/>
          <w:szCs w:val="25"/>
        </w:rPr>
        <w:t xml:space="preserve">1.5 Pendientes al cierre</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3600"/>
        <w:gridCol w:w="5760"/>
      </w:tblGrid>
      <w:tr>
        <w:trPr>
          <w:tblHeader/>
        </w:trPr>
        <w:tc>
          <w:tcPr>
            <w:tcW w:type="dxa" w:w="3600"/>
            <w:shd w:fill="EFEFEF" w:color="auto" w:val="clear"/>
            <w:tcMar>
              <w:top w:type="dxa" w:w="80"/>
              <w:left w:type="dxa" w:w="120"/>
              <w:bottom w:type="dxa" w:w="80"/>
              <w:right w:type="dxa" w:w="120"/>
            </w:tcMar>
          </w:tcPr>
          <w:p>
            <w:pPr>
              <w:spacing w:after="0" w:line="260"/>
            </w:pPr>
            <w:r>
              <w:rPr>
                <w:b/>
                <w:bCs/>
                <w:color w:val="131313"/>
                <w:sz w:val="20"/>
                <w:szCs w:val="20"/>
              </w:rPr>
              <w:t xml:space="preserve">Pendiente</w:t>
            </w:r>
          </w:p>
        </w:tc>
        <w:tc>
          <w:tcPr>
            <w:tcW w:type="dxa" w:w="5760"/>
            <w:shd w:fill="EFEFEF" w:color="auto" w:val="clear"/>
            <w:tcMar>
              <w:top w:type="dxa" w:w="80"/>
              <w:left w:type="dxa" w:w="120"/>
              <w:bottom w:type="dxa" w:w="80"/>
              <w:right w:type="dxa" w:w="120"/>
            </w:tcMar>
          </w:tcPr>
          <w:p>
            <w:pPr>
              <w:spacing w:after="0" w:line="260"/>
            </w:pPr>
            <w:r>
              <w:rPr>
                <w:b/>
                <w:bCs/>
                <w:color w:val="131313"/>
                <w:sz w:val="20"/>
                <w:szCs w:val="20"/>
              </w:rPr>
              <w:t xml:space="preserve">Causa</w:t>
            </w:r>
          </w:p>
        </w:tc>
      </w:tr>
      <w:tr>
        <w:tc>
          <w:tcPr>
            <w:tcW w:type="dxa" w:w="3600"/>
            <w:tcMar>
              <w:top w:type="dxa" w:w="80"/>
              <w:left w:type="dxa" w:w="120"/>
              <w:bottom w:type="dxa" w:w="80"/>
              <w:right w:type="dxa" w:w="120"/>
            </w:tcMar>
          </w:tcPr>
          <w:p>
            <w:pPr>
              <w:spacing w:after="0" w:line="260"/>
            </w:pPr>
            <w:r>
              <w:rPr>
                <w:b w:val="false"/>
                <w:bCs w:val="false"/>
                <w:color w:val="131313"/>
                <w:sz w:val="20"/>
                <w:szCs w:val="20"/>
              </w:rPr>
              <w:t xml:space="preserve">Compilación y verificación en iOS</w:t>
            </w:r>
          </w:p>
        </w:tc>
        <w:tc>
          <w:tcPr>
            <w:tcW w:type="dxa" w:w="5760"/>
            <w:tcMar>
              <w:top w:type="dxa" w:w="80"/>
              <w:left w:type="dxa" w:w="120"/>
              <w:bottom w:type="dxa" w:w="80"/>
              <w:right w:type="dxa" w:w="120"/>
            </w:tcMar>
          </w:tcPr>
          <w:p>
            <w:pPr>
              <w:spacing w:after="0" w:line="260"/>
            </w:pPr>
            <w:r>
              <w:rPr>
                <w:b w:val="false"/>
                <w:bCs w:val="false"/>
                <w:color w:val="131313"/>
                <w:sz w:val="20"/>
                <w:szCs w:val="20"/>
              </w:rPr>
              <w:t xml:space="preserve">Requiere cuenta de Apple Developer de pago; el perfil de compilación ya está configurado</w:t>
            </w:r>
          </w:p>
        </w:tc>
      </w:tr>
      <w:tr>
        <w:tc>
          <w:tcPr>
            <w:tcW w:type="dxa" w:w="3600"/>
            <w:tcMar>
              <w:top w:type="dxa" w:w="80"/>
              <w:left w:type="dxa" w:w="120"/>
              <w:bottom w:type="dxa" w:w="80"/>
              <w:right w:type="dxa" w:w="120"/>
            </w:tcMar>
          </w:tcPr>
          <w:p>
            <w:pPr>
              <w:spacing w:after="0" w:line="260"/>
            </w:pPr>
            <w:r>
              <w:rPr>
                <w:b w:val="false"/>
                <w:bCs w:val="false"/>
                <w:color w:val="131313"/>
                <w:sz w:val="20"/>
                <w:szCs w:val="20"/>
              </w:rPr>
              <w:t xml:space="preserve">Medición formal de rendimiento con 500 actividades</w:t>
            </w:r>
          </w:p>
        </w:tc>
        <w:tc>
          <w:tcPr>
            <w:tcW w:type="dxa" w:w="5760"/>
            <w:tcMar>
              <w:top w:type="dxa" w:w="80"/>
              <w:left w:type="dxa" w:w="120"/>
              <w:bottom w:type="dxa" w:w="80"/>
              <w:right w:type="dxa" w:w="120"/>
            </w:tcMar>
          </w:tcPr>
          <w:p>
            <w:pPr>
              <w:spacing w:after="0" w:line="260"/>
            </w:pPr>
            <w:r>
              <w:rPr>
                <w:b w:val="false"/>
                <w:bCs w:val="false"/>
                <w:color w:val="131313"/>
                <w:sz w:val="20"/>
                <w:szCs w:val="20"/>
              </w:rPr>
              <w:t xml:space="preserve">Depende de datos de prueba a escala en el backend real</w:t>
            </w:r>
          </w:p>
        </w:tc>
      </w:tr>
      <w:tr>
        <w:tc>
          <w:tcPr>
            <w:tcW w:type="dxa" w:w="3600"/>
            <w:tcMar>
              <w:top w:type="dxa" w:w="80"/>
              <w:left w:type="dxa" w:w="120"/>
              <w:bottom w:type="dxa" w:w="80"/>
              <w:right w:type="dxa" w:w="120"/>
            </w:tcMar>
          </w:tcPr>
          <w:p>
            <w:pPr>
              <w:spacing w:after="0" w:line="260"/>
            </w:pPr>
            <w:r>
              <w:rPr>
                <w:b w:val="false"/>
                <w:bCs w:val="false"/>
                <w:color w:val="131313"/>
                <w:sz w:val="20"/>
                <w:szCs w:val="20"/>
              </w:rPr>
              <w:t xml:space="preserve">Matriz de pruebas por funcionalidad en las tres plataformas</w:t>
            </w:r>
          </w:p>
        </w:tc>
        <w:tc>
          <w:tcPr>
            <w:tcW w:type="dxa" w:w="5760"/>
            <w:tcMar>
              <w:top w:type="dxa" w:w="80"/>
              <w:left w:type="dxa" w:w="120"/>
              <w:bottom w:type="dxa" w:w="80"/>
              <w:right w:type="dxa" w:w="120"/>
            </w:tcMar>
          </w:tcPr>
          <w:p>
            <w:pPr>
              <w:spacing w:after="0" w:line="260"/>
            </w:pPr>
            <w:r>
              <w:rPr>
                <w:b w:val="false"/>
                <w:bCs w:val="false"/>
                <w:color w:val="131313"/>
                <w:sz w:val="20"/>
                <w:szCs w:val="20"/>
              </w:rPr>
              <w:t xml:space="preserve">Verificada en web; pendiente en dispositivos</w:t>
            </w:r>
          </w:p>
        </w:tc>
      </w:tr>
      <w:tr>
        <w:tc>
          <w:tcPr>
            <w:tcW w:type="dxa" w:w="3600"/>
            <w:tcMar>
              <w:top w:type="dxa" w:w="80"/>
              <w:left w:type="dxa" w:w="120"/>
              <w:bottom w:type="dxa" w:w="80"/>
              <w:right w:type="dxa" w:w="120"/>
            </w:tcMar>
          </w:tcPr>
          <w:p>
            <w:pPr>
              <w:spacing w:after="0" w:line="260"/>
            </w:pPr>
            <w:r>
              <w:rPr>
                <w:b w:val="false"/>
                <w:bCs w:val="false"/>
                <w:color w:val="131313"/>
                <w:sz w:val="20"/>
                <w:szCs w:val="20"/>
              </w:rPr>
              <w:t xml:space="preserve">Verificación de notificación local en dispositivo</w:t>
            </w:r>
          </w:p>
        </w:tc>
        <w:tc>
          <w:tcPr>
            <w:tcW w:type="dxa" w:w="5760"/>
            <w:tcMar>
              <w:top w:type="dxa" w:w="80"/>
              <w:left w:type="dxa" w:w="120"/>
              <w:bottom w:type="dxa" w:w="80"/>
              <w:right w:type="dxa" w:w="120"/>
            </w:tcMar>
          </w:tcPr>
          <w:p>
            <w:pPr>
              <w:spacing w:after="0" w:line="260"/>
            </w:pPr>
            <w:r>
              <w:rPr>
                <w:b w:val="false"/>
                <w:bCs w:val="false"/>
                <w:color w:val="131313"/>
                <w:sz w:val="20"/>
                <w:szCs w:val="20"/>
              </w:rPr>
              <w:t xml:space="preserve">Bloqueada por la incompatibilidad de la biblioteca</w:t>
            </w:r>
          </w:p>
        </w:tc>
      </w:tr>
      <w:tr>
        <w:tc>
          <w:tcPr>
            <w:tcW w:type="dxa" w:w="3600"/>
            <w:tcMar>
              <w:top w:type="dxa" w:w="80"/>
              <w:left w:type="dxa" w:w="120"/>
              <w:bottom w:type="dxa" w:w="80"/>
              <w:right w:type="dxa" w:w="120"/>
            </w:tcMar>
          </w:tcPr>
          <w:p>
            <w:pPr>
              <w:spacing w:after="0" w:line="260"/>
            </w:pPr>
            <w:r>
              <w:rPr>
                <w:b w:val="false"/>
                <w:bCs w:val="false"/>
                <w:color w:val="131313"/>
                <w:sz w:val="20"/>
                <w:szCs w:val="20"/>
              </w:rPr>
              <w:t xml:space="preserve">Pasada final de pruebas de control de acceso</w:t>
            </w:r>
          </w:p>
        </w:tc>
        <w:tc>
          <w:tcPr>
            <w:tcW w:type="dxa" w:w="5760"/>
            <w:tcMar>
              <w:top w:type="dxa" w:w="80"/>
              <w:left w:type="dxa" w:w="120"/>
              <w:bottom w:type="dxa" w:w="80"/>
              <w:right w:type="dxa" w:w="120"/>
            </w:tcMar>
          </w:tcPr>
          <w:p>
            <w:pPr>
              <w:spacing w:after="0" w:line="260"/>
            </w:pPr>
            <w:r>
              <w:rPr>
                <w:b w:val="false"/>
                <w:bCs w:val="false"/>
                <w:color w:val="131313"/>
                <w:sz w:val="20"/>
                <w:szCs w:val="20"/>
              </w:rPr>
              <w:t xml:space="preserve">Programada para la versión candidata</w:t>
            </w:r>
          </w:p>
        </w:tc>
      </w:tr>
      <w:tr>
        <w:tc>
          <w:tcPr>
            <w:tcW w:type="dxa" w:w="3600"/>
            <w:tcMar>
              <w:top w:type="dxa" w:w="80"/>
              <w:left w:type="dxa" w:w="120"/>
              <w:bottom w:type="dxa" w:w="80"/>
              <w:right w:type="dxa" w:w="120"/>
            </w:tcMar>
          </w:tcPr>
          <w:p>
            <w:pPr>
              <w:spacing w:after="0" w:line="260"/>
            </w:pPr>
            <w:r>
              <w:rPr>
                <w:b w:val="false"/>
                <w:bCs w:val="false"/>
                <w:color w:val="131313"/>
                <w:sz w:val="20"/>
                <w:szCs w:val="20"/>
              </w:rPr>
              <w:t xml:space="preserve">Cobertura de pruebas del 80 %</w:t>
            </w:r>
          </w:p>
        </w:tc>
        <w:tc>
          <w:tcPr>
            <w:tcW w:type="dxa" w:w="5760"/>
            <w:tcMar>
              <w:top w:type="dxa" w:w="80"/>
              <w:left w:type="dxa" w:w="120"/>
              <w:bottom w:type="dxa" w:w="80"/>
              <w:right w:type="dxa" w:w="120"/>
            </w:tcMar>
          </w:tcPr>
          <w:p>
            <w:pPr>
              <w:spacing w:after="0" w:line="260"/>
            </w:pPr>
            <w:r>
              <w:rPr>
                <w:b w:val="false"/>
                <w:bCs w:val="false"/>
                <w:color w:val="131313"/>
                <w:sz w:val="20"/>
                <w:szCs w:val="20"/>
              </w:rPr>
              <w:t xml:space="preserve">Alcanzado el 41 %; el detalle se explica en la sección 3</w:t>
            </w:r>
          </w:p>
        </w:tc>
      </w:tr>
    </w:tbl>
    <w:p>
      <w:pPr>
        <w:pStyle w:val="Heading1"/>
        <w:spacing w:after="160" w:before="360"/>
      </w:pPr>
      <w:r>
        <w:rPr>
          <w:b/>
          <w:bCs/>
          <w:color w:val="131313"/>
          <w:sz w:val="30"/>
          <w:szCs w:val="30"/>
        </w:rPr>
        <w:t xml:space="preserve">2. Lecciones aprendidas</w:t>
      </w:r>
    </w:p>
    <w:p>
      <w:pPr>
        <w:spacing w:after="120" w:line="276"/>
      </w:pPr>
      <w:r>
        <w:rPr>
          <w:color w:val="131313"/>
          <w:sz w:val="22"/>
          <w:szCs w:val="22"/>
        </w:rPr>
        <w:t xml:space="preserve">Las siguientes lecciones se desprenden de decisiones concretas tomadas durante el proyecto y de sus consecuencias observadas.</w:t>
      </w:r>
    </w:p>
    <w:p>
      <w:pPr>
        <w:pStyle w:val="Heading2"/>
        <w:spacing w:after="120" w:before="260"/>
      </w:pPr>
      <w:r>
        <w:rPr>
          <w:b/>
          <w:bCs/>
          <w:color w:val="131313"/>
          <w:sz w:val="25"/>
          <w:szCs w:val="25"/>
        </w:rPr>
        <w:t xml:space="preserve">2.1 Construir sobre un backend simulado acelera, pero concentra el riesgo</w:t>
      </w:r>
    </w:p>
    <w:p>
      <w:pPr>
        <w:spacing w:after="120" w:line="276"/>
      </w:pPr>
      <w:r>
        <w:rPr>
          <w:color w:val="131313"/>
          <w:sz w:val="22"/>
          <w:szCs w:val="22"/>
        </w:rPr>
        <w:t xml:space="preserve">Desarrollar toda la interfaz contra un backend en memoria permitió avanzar sin depender de la base de datos y probar cada pantalla de inmediato. El costo apareció al final: toda la integración real —migraciones, control de acceso, implementación de los servicios— quedó concentrada en una sola fase, y los problemas de permisos no se descubrieron hasta entonces. La decisión fue correcta para el ritmo, pero habría convenido integrar al menos una funcionalidad completa contra la base real en una fase temprana, para descubrir antes los problemas de configuración.</w:t>
      </w:r>
    </w:p>
    <w:p>
      <w:pPr>
        <w:pStyle w:val="Heading2"/>
        <w:spacing w:after="120" w:before="260"/>
      </w:pPr>
      <w:r>
        <w:rPr>
          <w:b/>
          <w:bCs/>
          <w:color w:val="131313"/>
          <w:sz w:val="25"/>
          <w:szCs w:val="25"/>
        </w:rPr>
        <w:t xml:space="preserve">2.2 El control de acceso pertenece a la base de datos, no al cliente</w:t>
      </w:r>
    </w:p>
    <w:p>
      <w:pPr>
        <w:spacing w:after="120" w:line="276"/>
      </w:pPr>
      <w:r>
        <w:rPr>
          <w:color w:val="131313"/>
          <w:sz w:val="22"/>
          <w:szCs w:val="22"/>
        </w:rPr>
        <w:t xml:space="preserve">El panel de administración comprueba el rol en el servidor mediante funciones con privilegios definidos, y la aplicación solo decide qué botones dibujar. Cuando se sondeó el proyecto desplegado se comprobó el valor de esa separación: aunque alguien evitara la interfaz y llamara directamente a la API, la base rechazaba la operación. Situar la comprobación únicamente en el cliente habría dado una falsa sensación de seguridad.</w:t>
      </w:r>
    </w:p>
    <w:p>
      <w:pPr>
        <w:pStyle w:val="Heading2"/>
        <w:spacing w:after="120" w:before="260"/>
      </w:pPr>
      <w:r>
        <w:rPr>
          <w:b/>
          <w:bCs/>
          <w:color w:val="131313"/>
          <w:sz w:val="25"/>
          <w:szCs w:val="25"/>
        </w:rPr>
        <w:t xml:space="preserve">2.3 Documentar el porqué de una decisión vale más que documentar el qué</w:t>
      </w:r>
    </w:p>
    <w:p>
      <w:pPr>
        <w:spacing w:after="120" w:line="276"/>
      </w:pPr>
      <w:r>
        <w:rPr>
          <w:color w:val="131313"/>
          <w:sz w:val="22"/>
          <w:szCs w:val="22"/>
        </w:rPr>
        <w:t xml:space="preserve">El código explica lo que hace; no explica por qué se descartó otra opción. Registrar en el momento por qué la recurrencia se resolvió en el cliente y no en la base evitó que la decisión se revirtiera más adelante por desconocimiento. Al redactar este informe, esas anotaciones fueron la fuente principal de la sección de desviaciones.</w:t>
      </w:r>
    </w:p>
    <w:p>
      <w:pPr>
        <w:pStyle w:val="Heading2"/>
        <w:spacing w:after="120" w:before="260"/>
      </w:pPr>
      <w:r>
        <w:rPr>
          <w:b/>
          <w:bCs/>
          <w:color w:val="131313"/>
          <w:sz w:val="25"/>
          <w:szCs w:val="25"/>
        </w:rPr>
        <w:t xml:space="preserve">2.4 Las herramientas de calidad deben entrar desde el inicio</w:t>
      </w:r>
    </w:p>
    <w:p>
      <w:pPr>
        <w:spacing w:after="120" w:line="276"/>
      </w:pPr>
      <w:r>
        <w:rPr>
          <w:color w:val="131313"/>
          <w:sz w:val="22"/>
          <w:szCs w:val="22"/>
        </w:rPr>
        <w:t xml:space="preserve">Las pruebas automatizadas, el análisis estático y el escaneo de seguridad se incorporaron en la etapa final. El análisis estático arrojó resultados favorables —cuarenta minutos de deuda técnica y cero duplicación— precisamente porque el código ya pasaba por revisión de estilo y tipado estricto desde el principio. En cambio, la cobertura de pruebas no alcanzó el objetivo: escribir pruebas sobre una base ya construida es considerablemente más lento que escribirlas junto al código.</w:t>
      </w:r>
    </w:p>
    <w:p>
      <w:pPr>
        <w:pStyle w:val="Heading2"/>
        <w:spacing w:after="120" w:before="260"/>
      </w:pPr>
      <w:r>
        <w:rPr>
          <w:b/>
          <w:bCs/>
          <w:color w:val="131313"/>
          <w:sz w:val="25"/>
          <w:szCs w:val="25"/>
        </w:rPr>
        <w:t xml:space="preserve">2.5 Compilar para varias plataformas no equivale a funcionar en todas</w:t>
      </w:r>
    </w:p>
    <w:p>
      <w:pPr>
        <w:spacing w:after="120" w:line="276"/>
      </w:pPr>
      <w:r>
        <w:rPr>
          <w:color w:val="131313"/>
          <w:sz w:val="22"/>
          <w:szCs w:val="22"/>
        </w:rPr>
        <w:t xml:space="preserve">El mismo código compiló sin cambios para web y Android, pero el comportamiento no fue equivalente. El teclado de Android ocultaba los campos de texto por un cambio en cómo el sistema gestiona la ventana en versiones recientes, y hubo que ajustar configuración nativa. La conclusión es que la verificación en dispositivo no es opcional ni sustituible por la compilación correcta.</w:t>
      </w:r>
    </w:p>
    <w:p>
      <w:pPr>
        <w:pStyle w:val="Heading2"/>
        <w:spacing w:after="120" w:before="260"/>
      </w:pPr>
      <w:r>
        <w:rPr>
          <w:b/>
          <w:bCs/>
          <w:color w:val="131313"/>
          <w:sz w:val="25"/>
          <w:szCs w:val="25"/>
        </w:rPr>
        <w:t xml:space="preserve">2.6 Un error de configuración cuesta minutos; detectarlo tarde, mucho más</w:t>
      </w:r>
    </w:p>
    <w:p>
      <w:pPr>
        <w:spacing w:after="120" w:line="276"/>
      </w:pPr>
      <w:r>
        <w:rPr>
          <w:color w:val="131313"/>
          <w:sz w:val="22"/>
          <w:szCs w:val="22"/>
        </w:rPr>
        <w:t xml:space="preserve">El archivo de credenciales versionado por error se corrigió en pocos minutos, pero permaneció expuesto durante buena parte del desarrollo. Una revisión temprana de qué archivos entran al control de versiones habría evitado la exposición por completo.</w:t>
      </w:r>
    </w:p>
    <w:p>
      <w:pPr>
        <w:pStyle w:val="Heading1"/>
        <w:spacing w:after="160" w:before="360"/>
      </w:pPr>
      <w:r>
        <w:rPr>
          <w:b/>
          <w:bCs/>
          <w:color w:val="131313"/>
          <w:sz w:val="30"/>
          <w:szCs w:val="30"/>
        </w:rPr>
        <w:t xml:space="preserve">3. Plan de mejora continua</w:t>
      </w:r>
    </w:p>
    <w:p>
      <w:pPr>
        <w:spacing w:after="120" w:line="276"/>
      </w:pPr>
      <w:r>
        <w:rPr>
          <w:color w:val="131313"/>
          <w:sz w:val="22"/>
          <w:szCs w:val="22"/>
        </w:rPr>
        <w:t xml:space="preserve">Las acciones se ordenan por prioridad, combinando la deuda identificada al cierre con la evolución prevista del producto.</w:t>
      </w:r>
    </w:p>
    <w:p>
      <w:pPr>
        <w:pStyle w:val="Heading2"/>
        <w:spacing w:after="120" w:before="260"/>
      </w:pPr>
      <w:r>
        <w:rPr>
          <w:b/>
          <w:bCs/>
          <w:color w:val="131313"/>
          <w:sz w:val="25"/>
          <w:szCs w:val="25"/>
        </w:rPr>
        <w:t xml:space="preserve">3.1 Corto plazo (próximas dos semanas)</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2800"/>
        <w:gridCol w:w="3560"/>
        <w:gridCol w:w="3000"/>
      </w:tblGrid>
      <w:tr>
        <w:trPr>
          <w:tblHeader/>
        </w:trPr>
        <w:tc>
          <w:tcPr>
            <w:tcW w:type="dxa" w:w="2800"/>
            <w:shd w:fill="EFEFEF" w:color="auto" w:val="clear"/>
            <w:tcMar>
              <w:top w:type="dxa" w:w="80"/>
              <w:left w:type="dxa" w:w="120"/>
              <w:bottom w:type="dxa" w:w="80"/>
              <w:right w:type="dxa" w:w="120"/>
            </w:tcMar>
          </w:tcPr>
          <w:p>
            <w:pPr>
              <w:spacing w:after="0" w:line="260"/>
            </w:pPr>
            <w:r>
              <w:rPr>
                <w:b/>
                <w:bCs/>
                <w:color w:val="131313"/>
                <w:sz w:val="20"/>
                <w:szCs w:val="20"/>
              </w:rPr>
              <w:t xml:space="preserve">Acción</w:t>
            </w:r>
          </w:p>
        </w:tc>
        <w:tc>
          <w:tcPr>
            <w:tcW w:type="dxa" w:w="3560"/>
            <w:shd w:fill="EFEFEF" w:color="auto" w:val="clear"/>
            <w:tcMar>
              <w:top w:type="dxa" w:w="80"/>
              <w:left w:type="dxa" w:w="120"/>
              <w:bottom w:type="dxa" w:w="80"/>
              <w:right w:type="dxa" w:w="120"/>
            </w:tcMar>
          </w:tcPr>
          <w:p>
            <w:pPr>
              <w:spacing w:after="0" w:line="260"/>
            </w:pPr>
            <w:r>
              <w:rPr>
                <w:b/>
                <w:bCs/>
                <w:color w:val="131313"/>
                <w:sz w:val="20"/>
                <w:szCs w:val="20"/>
              </w:rPr>
              <w:t xml:space="preserve">Justificación</w:t>
            </w:r>
          </w:p>
        </w:tc>
        <w:tc>
          <w:tcPr>
            <w:tcW w:type="dxa" w:w="3000"/>
            <w:shd w:fill="EFEFEF" w:color="auto" w:val="clear"/>
            <w:tcMar>
              <w:top w:type="dxa" w:w="80"/>
              <w:left w:type="dxa" w:w="120"/>
              <w:bottom w:type="dxa" w:w="80"/>
              <w:right w:type="dxa" w:w="120"/>
            </w:tcMar>
          </w:tcPr>
          <w:p>
            <w:pPr>
              <w:spacing w:after="0" w:line="260"/>
            </w:pPr>
            <w:r>
              <w:rPr>
                <w:b/>
                <w:bCs/>
                <w:color w:val="131313"/>
                <w:sz w:val="20"/>
                <w:szCs w:val="20"/>
              </w:rPr>
              <w:t xml:space="preserve">Criterio de cumplimiento</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Elevar la cobertura de pruebas del 41 % al 80 %</w:t>
            </w:r>
          </w:p>
        </w:tc>
        <w:tc>
          <w:tcPr>
            <w:tcW w:type="dxa" w:w="3560"/>
            <w:tcMar>
              <w:top w:type="dxa" w:w="80"/>
              <w:left w:type="dxa" w:w="120"/>
              <w:bottom w:type="dxa" w:w="80"/>
              <w:right w:type="dxa" w:w="120"/>
            </w:tcMar>
          </w:tcPr>
          <w:p>
            <w:pPr>
              <w:spacing w:after="0" w:line="260"/>
            </w:pPr>
            <w:r>
              <w:rPr>
                <w:b w:val="false"/>
                <w:bCs w:val="false"/>
                <w:color w:val="131313"/>
                <w:sz w:val="20"/>
                <w:szCs w:val="20"/>
              </w:rPr>
              <w:t xml:space="preserve">La brecha se concentra en pantallas y componentes visuales; la capa de lógica ya está cubierta</w:t>
            </w:r>
          </w:p>
        </w:tc>
        <w:tc>
          <w:tcPr>
            <w:tcW w:type="dxa" w:w="3000"/>
            <w:tcMar>
              <w:top w:type="dxa" w:w="80"/>
              <w:left w:type="dxa" w:w="120"/>
              <w:bottom w:type="dxa" w:w="80"/>
              <w:right w:type="dxa" w:w="120"/>
            </w:tcMar>
          </w:tcPr>
          <w:p>
            <w:pPr>
              <w:spacing w:after="0" w:line="260"/>
            </w:pPr>
            <w:r>
              <w:rPr>
                <w:b w:val="false"/>
                <w:bCs w:val="false"/>
                <w:color w:val="131313"/>
                <w:sz w:val="20"/>
                <w:szCs w:val="20"/>
              </w:rPr>
              <w:t xml:space="preserve">El análisis de calidad reporta 80 % o más</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Corregir las tres cabeceras de seguridad detectadas</w:t>
            </w:r>
          </w:p>
        </w:tc>
        <w:tc>
          <w:tcPr>
            <w:tcW w:type="dxa" w:w="3560"/>
            <w:tcMar>
              <w:top w:type="dxa" w:w="80"/>
              <w:left w:type="dxa" w:w="120"/>
              <w:bottom w:type="dxa" w:w="80"/>
              <w:right w:type="dxa" w:w="120"/>
            </w:tcMar>
          </w:tcPr>
          <w:p>
            <w:pPr>
              <w:spacing w:after="0" w:line="260"/>
            </w:pPr>
            <w:r>
              <w:rPr>
                <w:b w:val="false"/>
                <w:bCs w:val="false"/>
                <w:color w:val="131313"/>
                <w:sz w:val="20"/>
                <w:szCs w:val="20"/>
              </w:rPr>
              <w:t xml:space="preserve">El escaneo dinámico identificó ausencia de política de contenido, protección frente a incrustación y configuración de origen cruzado</w:t>
            </w:r>
          </w:p>
        </w:tc>
        <w:tc>
          <w:tcPr>
            <w:tcW w:type="dxa" w:w="3000"/>
            <w:tcMar>
              <w:top w:type="dxa" w:w="80"/>
              <w:left w:type="dxa" w:w="120"/>
              <w:bottom w:type="dxa" w:w="80"/>
              <w:right w:type="dxa" w:w="120"/>
            </w:tcMar>
          </w:tcPr>
          <w:p>
            <w:pPr>
              <w:spacing w:after="0" w:line="260"/>
            </w:pPr>
            <w:r>
              <w:rPr>
                <w:b w:val="false"/>
                <w:bCs w:val="false"/>
                <w:color w:val="131313"/>
                <w:sz w:val="20"/>
                <w:szCs w:val="20"/>
              </w:rPr>
              <w:t xml:space="preserve">Un nuevo escaneo no reporta hallazgos de riesgo medio</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Compilar y verificar la aplicación en iOS</w:t>
            </w:r>
          </w:p>
        </w:tc>
        <w:tc>
          <w:tcPr>
            <w:tcW w:type="dxa" w:w="3560"/>
            <w:tcMar>
              <w:top w:type="dxa" w:w="80"/>
              <w:left w:type="dxa" w:w="120"/>
              <w:bottom w:type="dxa" w:w="80"/>
              <w:right w:type="dxa" w:w="120"/>
            </w:tcMar>
          </w:tcPr>
          <w:p>
            <w:pPr>
              <w:spacing w:after="0" w:line="260"/>
            </w:pPr>
            <w:r>
              <w:rPr>
                <w:b w:val="false"/>
                <w:bCs w:val="false"/>
                <w:color w:val="131313"/>
                <w:sz w:val="20"/>
                <w:szCs w:val="20"/>
              </w:rPr>
              <w:t xml:space="preserve">Es el único compromiso funcional pendiente del alcance original</w:t>
            </w:r>
          </w:p>
        </w:tc>
        <w:tc>
          <w:tcPr>
            <w:tcW w:type="dxa" w:w="3000"/>
            <w:tcMar>
              <w:top w:type="dxa" w:w="80"/>
              <w:left w:type="dxa" w:w="120"/>
              <w:bottom w:type="dxa" w:w="80"/>
              <w:right w:type="dxa" w:w="120"/>
            </w:tcMar>
          </w:tcPr>
          <w:p>
            <w:pPr>
              <w:spacing w:after="0" w:line="260"/>
            </w:pPr>
            <w:r>
              <w:rPr>
                <w:b w:val="false"/>
                <w:bCs w:val="false"/>
                <w:color w:val="131313"/>
                <w:sz w:val="20"/>
                <w:szCs w:val="20"/>
              </w:rPr>
              <w:t xml:space="preserve">Registro, inicio de sesión y calendario verificados en dispositivo</w:t>
            </w:r>
          </w:p>
        </w:tc>
      </w:tr>
      <w:tr>
        <w:tc>
          <w:tcPr>
            <w:tcW w:type="dxa" w:w="2800"/>
            <w:tcMar>
              <w:top w:type="dxa" w:w="80"/>
              <w:left w:type="dxa" w:w="120"/>
              <w:bottom w:type="dxa" w:w="80"/>
              <w:right w:type="dxa" w:w="120"/>
            </w:tcMar>
          </w:tcPr>
          <w:p>
            <w:pPr>
              <w:spacing w:after="0" w:line="260"/>
            </w:pPr>
            <w:r>
              <w:rPr>
                <w:b w:val="false"/>
                <w:bCs w:val="false"/>
                <w:color w:val="131313"/>
                <w:sz w:val="20"/>
                <w:szCs w:val="20"/>
              </w:rPr>
              <w:t xml:space="preserve">Convertir el análisis de calidad en condición bloqueante</w:t>
            </w:r>
          </w:p>
        </w:tc>
        <w:tc>
          <w:tcPr>
            <w:tcW w:type="dxa" w:w="3560"/>
            <w:tcMar>
              <w:top w:type="dxa" w:w="80"/>
              <w:left w:type="dxa" w:w="120"/>
              <w:bottom w:type="dxa" w:w="80"/>
              <w:right w:type="dxa" w:w="120"/>
            </w:tcMar>
          </w:tcPr>
          <w:p>
            <w:pPr>
              <w:spacing w:after="0" w:line="260"/>
            </w:pPr>
            <w:r>
              <w:rPr>
                <w:b w:val="false"/>
                <w:bCs w:val="false"/>
                <w:color w:val="131313"/>
                <w:sz w:val="20"/>
                <w:szCs w:val="20"/>
              </w:rPr>
              <w:t xml:space="preserve">Hoy informa, pero no impide integrar código que empeore las métricas</w:t>
            </w:r>
          </w:p>
        </w:tc>
        <w:tc>
          <w:tcPr>
            <w:tcW w:type="dxa" w:w="3000"/>
            <w:tcMar>
              <w:top w:type="dxa" w:w="80"/>
              <w:left w:type="dxa" w:w="120"/>
              <w:bottom w:type="dxa" w:w="80"/>
              <w:right w:type="dxa" w:w="120"/>
            </w:tcMar>
          </w:tcPr>
          <w:p>
            <w:pPr>
              <w:spacing w:after="0" w:line="260"/>
            </w:pPr>
            <w:r>
              <w:rPr>
                <w:b w:val="false"/>
                <w:bCs w:val="false"/>
                <w:color w:val="131313"/>
                <w:sz w:val="20"/>
                <w:szCs w:val="20"/>
              </w:rPr>
              <w:t xml:space="preserve">La integración falla si la calidad desciende</w:t>
            </w:r>
          </w:p>
        </w:tc>
      </w:tr>
    </w:tbl>
    <w:p>
      <w:pPr>
        <w:spacing w:after="200"/>
      </w:pPr>
    </w:p>
    <w:p>
      <w:pPr>
        <w:pStyle w:val="Heading2"/>
        <w:spacing w:after="120" w:before="260"/>
      </w:pPr>
      <w:r>
        <w:rPr>
          <w:b/>
          <w:bCs/>
          <w:color w:val="131313"/>
          <w:sz w:val="25"/>
          <w:szCs w:val="25"/>
        </w:rPr>
        <w:t xml:space="preserve">3.2 Mediano plazo (uno a tres meses)</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3400"/>
        <w:gridCol w:w="5960"/>
      </w:tblGrid>
      <w:tr>
        <w:trPr>
          <w:tblHeader/>
        </w:trPr>
        <w:tc>
          <w:tcPr>
            <w:tcW w:type="dxa" w:w="3400"/>
            <w:shd w:fill="EFEFEF" w:color="auto" w:val="clear"/>
            <w:tcMar>
              <w:top w:type="dxa" w:w="80"/>
              <w:left w:type="dxa" w:w="120"/>
              <w:bottom w:type="dxa" w:w="80"/>
              <w:right w:type="dxa" w:w="120"/>
            </w:tcMar>
          </w:tcPr>
          <w:p>
            <w:pPr>
              <w:spacing w:after="0" w:line="260"/>
            </w:pPr>
            <w:r>
              <w:rPr>
                <w:b/>
                <w:bCs/>
                <w:color w:val="131313"/>
                <w:sz w:val="20"/>
                <w:szCs w:val="20"/>
              </w:rPr>
              <w:t xml:space="preserve">Acción</w:t>
            </w:r>
          </w:p>
        </w:tc>
        <w:tc>
          <w:tcPr>
            <w:tcW w:type="dxa" w:w="5960"/>
            <w:shd w:fill="EFEFEF" w:color="auto" w:val="clear"/>
            <w:tcMar>
              <w:top w:type="dxa" w:w="80"/>
              <w:left w:type="dxa" w:w="120"/>
              <w:bottom w:type="dxa" w:w="80"/>
              <w:right w:type="dxa" w:w="120"/>
            </w:tcMar>
          </w:tcPr>
          <w:p>
            <w:pPr>
              <w:spacing w:after="0" w:line="260"/>
            </w:pPr>
            <w:r>
              <w:rPr>
                <w:b/>
                <w:bCs/>
                <w:color w:val="131313"/>
                <w:sz w:val="20"/>
                <w:szCs w:val="20"/>
              </w:rPr>
              <w:t xml:space="preserve">Justificación</w:t>
            </w:r>
          </w:p>
        </w:tc>
      </w:tr>
      <w:tr>
        <w:tc>
          <w:tcPr>
            <w:tcW w:type="dxa" w:w="3400"/>
            <w:tcMar>
              <w:top w:type="dxa" w:w="80"/>
              <w:left w:type="dxa" w:w="120"/>
              <w:bottom w:type="dxa" w:w="80"/>
              <w:right w:type="dxa" w:w="120"/>
            </w:tcMar>
          </w:tcPr>
          <w:p>
            <w:pPr>
              <w:spacing w:after="0" w:line="260"/>
            </w:pPr>
            <w:r>
              <w:rPr>
                <w:b w:val="false"/>
                <w:bCs w:val="false"/>
                <w:color w:val="131313"/>
                <w:sz w:val="20"/>
                <w:szCs w:val="20"/>
              </w:rPr>
              <w:t xml:space="preserve">Medir el rendimiento con volumen realista de datos</w:t>
            </w:r>
          </w:p>
        </w:tc>
        <w:tc>
          <w:tcPr>
            <w:tcW w:type="dxa" w:w="5960"/>
            <w:tcMar>
              <w:top w:type="dxa" w:w="80"/>
              <w:left w:type="dxa" w:w="120"/>
              <w:bottom w:type="dxa" w:w="80"/>
              <w:right w:type="dxa" w:w="120"/>
            </w:tcMar>
          </w:tcPr>
          <w:p>
            <w:pPr>
              <w:spacing w:after="0" w:line="260"/>
            </w:pPr>
            <w:r>
              <w:rPr>
                <w:b w:val="false"/>
                <w:bCs w:val="false"/>
                <w:color w:val="131313"/>
                <w:sz w:val="20"/>
                <w:szCs w:val="20"/>
              </w:rPr>
              <w:t xml:space="preserve">El requisito no funcional fija tres segundos para cargar el calendario; hoy no está medido con datos a escala</w:t>
            </w:r>
          </w:p>
        </w:tc>
      </w:tr>
      <w:tr>
        <w:tc>
          <w:tcPr>
            <w:tcW w:type="dxa" w:w="3400"/>
            <w:tcMar>
              <w:top w:type="dxa" w:w="80"/>
              <w:left w:type="dxa" w:w="120"/>
              <w:bottom w:type="dxa" w:w="80"/>
              <w:right w:type="dxa" w:w="120"/>
            </w:tcMar>
          </w:tcPr>
          <w:p>
            <w:pPr>
              <w:spacing w:after="0" w:line="260"/>
            </w:pPr>
            <w:r>
              <w:rPr>
                <w:b w:val="false"/>
                <w:bCs w:val="false"/>
                <w:color w:val="131313"/>
                <w:sz w:val="20"/>
                <w:szCs w:val="20"/>
              </w:rPr>
              <w:t xml:space="preserve">Reactivar las notificaciones locales</w:t>
            </w:r>
          </w:p>
        </w:tc>
        <w:tc>
          <w:tcPr>
            <w:tcW w:type="dxa" w:w="5960"/>
            <w:tcMar>
              <w:top w:type="dxa" w:w="80"/>
              <w:left w:type="dxa" w:w="120"/>
              <w:bottom w:type="dxa" w:w="80"/>
              <w:right w:type="dxa" w:w="120"/>
            </w:tcMar>
          </w:tcPr>
          <w:p>
            <w:pPr>
              <w:spacing w:after="0" w:line="260"/>
            </w:pPr>
            <w:r>
              <w:rPr>
                <w:b w:val="false"/>
                <w:bCs w:val="false"/>
                <w:color w:val="131313"/>
                <w:sz w:val="20"/>
                <w:szCs w:val="20"/>
              </w:rPr>
              <w:t xml:space="preserve">La funcionalidad está aislada tras una interfaz; requiere una compilación que incluya el módulo compatible</w:t>
            </w:r>
          </w:p>
        </w:tc>
      </w:tr>
      <w:tr>
        <w:tc>
          <w:tcPr>
            <w:tcW w:type="dxa" w:w="3400"/>
            <w:tcMar>
              <w:top w:type="dxa" w:w="80"/>
              <w:left w:type="dxa" w:w="120"/>
              <w:bottom w:type="dxa" w:w="80"/>
              <w:right w:type="dxa" w:w="120"/>
            </w:tcMar>
          </w:tcPr>
          <w:p>
            <w:pPr>
              <w:spacing w:after="0" w:line="260"/>
            </w:pPr>
            <w:r>
              <w:rPr>
                <w:b w:val="false"/>
                <w:bCs w:val="false"/>
                <w:color w:val="131313"/>
                <w:sz w:val="20"/>
                <w:szCs w:val="20"/>
              </w:rPr>
              <w:t xml:space="preserve">Automatizar el escaneo de seguridad en cada despliegue</w:t>
            </w:r>
          </w:p>
        </w:tc>
        <w:tc>
          <w:tcPr>
            <w:tcW w:type="dxa" w:w="5960"/>
            <w:tcMar>
              <w:top w:type="dxa" w:w="80"/>
              <w:left w:type="dxa" w:w="120"/>
              <w:bottom w:type="dxa" w:w="80"/>
              <w:right w:type="dxa" w:w="120"/>
            </w:tcMar>
          </w:tcPr>
          <w:p>
            <w:pPr>
              <w:spacing w:after="0" w:line="260"/>
            </w:pPr>
            <w:r>
              <w:rPr>
                <w:b w:val="false"/>
                <w:bCs w:val="false"/>
                <w:color w:val="131313"/>
                <w:sz w:val="20"/>
                <w:szCs w:val="20"/>
              </w:rPr>
              <w:t xml:space="preserve">Actualmente se ejecuta a petición, lo que permite que una regresión pase inadvertida</w:t>
            </w:r>
          </w:p>
        </w:tc>
      </w:tr>
      <w:tr>
        <w:tc>
          <w:tcPr>
            <w:tcW w:type="dxa" w:w="3400"/>
            <w:tcMar>
              <w:top w:type="dxa" w:w="80"/>
              <w:left w:type="dxa" w:w="120"/>
              <w:bottom w:type="dxa" w:w="80"/>
              <w:right w:type="dxa" w:w="120"/>
            </w:tcMar>
          </w:tcPr>
          <w:p>
            <w:pPr>
              <w:spacing w:after="0" w:line="260"/>
            </w:pPr>
            <w:r>
              <w:rPr>
                <w:b w:val="false"/>
                <w:bCs w:val="false"/>
                <w:color w:val="131313"/>
                <w:sz w:val="20"/>
                <w:szCs w:val="20"/>
              </w:rPr>
              <w:t xml:space="preserve">Incorporar pruebas de flujo completo</w:t>
            </w:r>
          </w:p>
        </w:tc>
        <w:tc>
          <w:tcPr>
            <w:tcW w:type="dxa" w:w="5960"/>
            <w:tcMar>
              <w:top w:type="dxa" w:w="80"/>
              <w:left w:type="dxa" w:w="120"/>
              <w:bottom w:type="dxa" w:w="80"/>
              <w:right w:type="dxa" w:w="120"/>
            </w:tcMar>
          </w:tcPr>
          <w:p>
            <w:pPr>
              <w:spacing w:after="0" w:line="260"/>
            </w:pPr>
            <w:r>
              <w:rPr>
                <w:b w:val="false"/>
                <w:bCs w:val="false"/>
                <w:color w:val="131313"/>
                <w:sz w:val="20"/>
                <w:szCs w:val="20"/>
              </w:rPr>
              <w:t xml:space="preserve">Las pruebas actuales verifican unidades aisladas; falta comprobar recorridos completos de la persona usuaria</w:t>
            </w:r>
          </w:p>
        </w:tc>
      </w:tr>
    </w:tbl>
    <w:p>
      <w:pPr>
        <w:spacing w:after="200"/>
      </w:pPr>
    </w:p>
    <w:p>
      <w:pPr>
        <w:pStyle w:val="Heading2"/>
        <w:spacing w:after="120" w:before="260"/>
      </w:pPr>
      <w:r>
        <w:rPr>
          <w:b/>
          <w:bCs/>
          <w:color w:val="131313"/>
          <w:sz w:val="25"/>
          <w:szCs w:val="25"/>
        </w:rPr>
        <w:t xml:space="preserve">3.3 Largo plazo (evolución del producto)</w:t>
      </w:r>
    </w:p>
    <w:p>
      <w:pPr>
        <w:spacing w:after="120" w:line="276"/>
      </w:pPr>
      <w:r>
        <w:rPr>
          <w:color w:val="131313"/>
          <w:sz w:val="22"/>
          <w:szCs w:val="22"/>
        </w:rPr>
        <w:t xml:space="preserve">La arquitectura se diseñó para que las actividades sean la entidad central y cada dimensión del bienestar pueda incorporar herramientas especializadas sin modificar el calendario. Sobre esa base se contemplan:</w:t>
      </w:r>
    </w:p>
    <w:p>
      <w:pPr>
        <w:pStyle w:val="ListParagraph"/>
        <w:numPr>
          <w:ilvl w:val="0"/>
          <w:numId w:val="2"/>
        </w:numPr>
        <w:spacing w:after="100" w:line="276"/>
      </w:pPr>
      <w:r>
        <w:rPr>
          <w:color w:val="131313"/>
          <w:sz w:val="22"/>
          <w:szCs w:val="22"/>
        </w:rPr>
        <w:t xml:space="preserve">Extender el modelo a las dimensiones restantes, empezando por la intelectual con un módulo de lectura, replicando la integración ya probada con el módulo de actividad física.</w:t>
      </w:r>
    </w:p>
    <w:p>
      <w:pPr>
        <w:pStyle w:val="ListParagraph"/>
        <w:numPr>
          <w:ilvl w:val="0"/>
          <w:numId w:val="2"/>
        </w:numPr>
        <w:spacing w:after="100" w:line="276"/>
      </w:pPr>
      <w:r>
        <w:rPr>
          <w:color w:val="131313"/>
          <w:sz w:val="22"/>
          <w:szCs w:val="22"/>
        </w:rPr>
        <w:t xml:space="preserve">Incorporar sugerencias basadas en los hábitos registrados, por ejemplo proponer horarios según la distribución histórica de actividades por dimensión.</w:t>
      </w:r>
    </w:p>
    <w:p>
      <w:pPr>
        <w:pStyle w:val="ListParagraph"/>
        <w:numPr>
          <w:ilvl w:val="0"/>
          <w:numId w:val="2"/>
        </w:numPr>
        <w:spacing w:after="100" w:line="276"/>
      </w:pPr>
      <w:r>
        <w:rPr>
          <w:color w:val="131313"/>
          <w:sz w:val="22"/>
          <w:szCs w:val="22"/>
        </w:rPr>
        <w:t xml:space="preserve">Añadir funcionamiento sin conexión con sincronización posterior, hoy fuera del alcance de la primera versión.</w:t>
      </w:r>
    </w:p>
    <w:p>
      <w:pPr>
        <w:pStyle w:val="ListParagraph"/>
        <w:numPr>
          <w:ilvl w:val="0"/>
          <w:numId w:val="2"/>
        </w:numPr>
        <w:spacing w:after="100" w:line="276"/>
      </w:pPr>
      <w:r>
        <w:rPr>
          <w:color w:val="131313"/>
          <w:sz w:val="22"/>
          <w:szCs w:val="22"/>
        </w:rPr>
        <w:t xml:space="preserve">Publicar la aplicación en las tiendas, lo que exige revisar privacidad, permisos y políticas de datos personales.</w:t>
      </w:r>
    </w:p>
    <w:p>
      <w:pPr>
        <w:spacing w:after="200"/>
      </w:pPr>
    </w:p>
    <w:p>
      <w:pPr>
        <w:pStyle w:val="Heading2"/>
        <w:spacing w:after="120" w:before="260"/>
      </w:pPr>
      <w:r>
        <w:rPr>
          <w:b/>
          <w:bCs/>
          <w:color w:val="131313"/>
          <w:sz w:val="25"/>
          <w:szCs w:val="25"/>
        </w:rPr>
        <w:t xml:space="preserve">3.4 Indicadores de seguimiento</w:t>
      </w:r>
    </w:p>
    <w:p>
      <w:pPr>
        <w:spacing w:after="120" w:line="276"/>
      </w:pPr>
      <w:r>
        <w:rPr>
          <w:color w:val="131313"/>
          <w:sz w:val="22"/>
          <w:szCs w:val="22"/>
        </w:rPr>
        <w:t xml:space="preserve">Para que la mejora sea verificable y no declarativa, se propone seguir cuatro indicadores ya medibles con las herramientas integradas:</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3800"/>
        <w:gridCol w:w="2600"/>
        <w:gridCol w:w="2960"/>
      </w:tblGrid>
      <w:tr>
        <w:trPr>
          <w:tblHeader/>
        </w:trPr>
        <w:tc>
          <w:tcPr>
            <w:tcW w:type="dxa" w:w="3800"/>
            <w:shd w:fill="EFEFEF" w:color="auto" w:val="clear"/>
            <w:tcMar>
              <w:top w:type="dxa" w:w="80"/>
              <w:left w:type="dxa" w:w="120"/>
              <w:bottom w:type="dxa" w:w="80"/>
              <w:right w:type="dxa" w:w="120"/>
            </w:tcMar>
          </w:tcPr>
          <w:p>
            <w:pPr>
              <w:spacing w:after="0" w:line="260"/>
            </w:pPr>
            <w:r>
              <w:rPr>
                <w:b/>
                <w:bCs/>
                <w:color w:val="131313"/>
                <w:sz w:val="20"/>
                <w:szCs w:val="20"/>
              </w:rPr>
              <w:t xml:space="preserve">Indicador</w:t>
            </w:r>
          </w:p>
        </w:tc>
        <w:tc>
          <w:tcPr>
            <w:tcW w:type="dxa" w:w="2600"/>
            <w:shd w:fill="EFEFEF" w:color="auto" w:val="clear"/>
            <w:tcMar>
              <w:top w:type="dxa" w:w="80"/>
              <w:left w:type="dxa" w:w="120"/>
              <w:bottom w:type="dxa" w:w="80"/>
              <w:right w:type="dxa" w:w="120"/>
            </w:tcMar>
          </w:tcPr>
          <w:p>
            <w:pPr>
              <w:spacing w:after="0" w:line="260"/>
            </w:pPr>
            <w:r>
              <w:rPr>
                <w:b/>
                <w:bCs/>
                <w:color w:val="131313"/>
                <w:sz w:val="20"/>
                <w:szCs w:val="20"/>
              </w:rPr>
              <w:t xml:space="preserve">Valor al cierre</w:t>
            </w:r>
          </w:p>
        </w:tc>
        <w:tc>
          <w:tcPr>
            <w:tcW w:type="dxa" w:w="2960"/>
            <w:shd w:fill="EFEFEF" w:color="auto" w:val="clear"/>
            <w:tcMar>
              <w:top w:type="dxa" w:w="80"/>
              <w:left w:type="dxa" w:w="120"/>
              <w:bottom w:type="dxa" w:w="80"/>
              <w:right w:type="dxa" w:w="120"/>
            </w:tcMar>
          </w:tcPr>
          <w:p>
            <w:pPr>
              <w:spacing w:after="0" w:line="260"/>
            </w:pPr>
            <w:r>
              <w:rPr>
                <w:b/>
                <w:bCs/>
                <w:color w:val="131313"/>
                <w:sz w:val="20"/>
                <w:szCs w:val="20"/>
              </w:rPr>
              <w:t xml:space="preserve">Objetivo</w:t>
            </w:r>
          </w:p>
        </w:tc>
      </w:tr>
      <w:tr>
        <w:tc>
          <w:tcPr>
            <w:tcW w:type="dxa" w:w="3800"/>
            <w:tcMar>
              <w:top w:type="dxa" w:w="80"/>
              <w:left w:type="dxa" w:w="120"/>
              <w:bottom w:type="dxa" w:w="80"/>
              <w:right w:type="dxa" w:w="120"/>
            </w:tcMar>
          </w:tcPr>
          <w:p>
            <w:pPr>
              <w:spacing w:after="0" w:line="260"/>
            </w:pPr>
            <w:r>
              <w:rPr>
                <w:b w:val="false"/>
                <w:bCs w:val="false"/>
                <w:color w:val="131313"/>
                <w:sz w:val="20"/>
                <w:szCs w:val="20"/>
              </w:rPr>
              <w:t xml:space="preserve">Cobertura de pruebas</w:t>
            </w:r>
          </w:p>
        </w:tc>
        <w:tc>
          <w:tcPr>
            <w:tcW w:type="dxa" w:w="2600"/>
            <w:tcMar>
              <w:top w:type="dxa" w:w="80"/>
              <w:left w:type="dxa" w:w="120"/>
              <w:bottom w:type="dxa" w:w="80"/>
              <w:right w:type="dxa" w:w="120"/>
            </w:tcMar>
          </w:tcPr>
          <w:p>
            <w:pPr>
              <w:spacing w:after="0" w:line="260"/>
            </w:pPr>
            <w:r>
              <w:rPr>
                <w:b w:val="false"/>
                <w:bCs w:val="false"/>
                <w:color w:val="131313"/>
                <w:sz w:val="20"/>
                <w:szCs w:val="20"/>
              </w:rPr>
              <w:t xml:space="preserve">41 %</w:t>
            </w:r>
          </w:p>
        </w:tc>
        <w:tc>
          <w:tcPr>
            <w:tcW w:type="dxa" w:w="2960"/>
            <w:tcMar>
              <w:top w:type="dxa" w:w="80"/>
              <w:left w:type="dxa" w:w="120"/>
              <w:bottom w:type="dxa" w:w="80"/>
              <w:right w:type="dxa" w:w="120"/>
            </w:tcMar>
          </w:tcPr>
          <w:p>
            <w:pPr>
              <w:spacing w:after="0" w:line="260"/>
            </w:pPr>
            <w:r>
              <w:rPr>
                <w:b w:val="false"/>
                <w:bCs w:val="false"/>
                <w:color w:val="131313"/>
                <w:sz w:val="20"/>
                <w:szCs w:val="20"/>
              </w:rPr>
              <w:t xml:space="preserve">80 %</w:t>
            </w:r>
          </w:p>
        </w:tc>
      </w:tr>
      <w:tr>
        <w:tc>
          <w:tcPr>
            <w:tcW w:type="dxa" w:w="3800"/>
            <w:tcMar>
              <w:top w:type="dxa" w:w="80"/>
              <w:left w:type="dxa" w:w="120"/>
              <w:bottom w:type="dxa" w:w="80"/>
              <w:right w:type="dxa" w:w="120"/>
            </w:tcMar>
          </w:tcPr>
          <w:p>
            <w:pPr>
              <w:spacing w:after="0" w:line="260"/>
            </w:pPr>
            <w:r>
              <w:rPr>
                <w:b w:val="false"/>
                <w:bCs w:val="false"/>
                <w:color w:val="131313"/>
                <w:sz w:val="20"/>
                <w:szCs w:val="20"/>
              </w:rPr>
              <w:t xml:space="preserve">Deuda técnica</w:t>
            </w:r>
          </w:p>
        </w:tc>
        <w:tc>
          <w:tcPr>
            <w:tcW w:type="dxa" w:w="2600"/>
            <w:tcMar>
              <w:top w:type="dxa" w:w="80"/>
              <w:left w:type="dxa" w:w="120"/>
              <w:bottom w:type="dxa" w:w="80"/>
              <w:right w:type="dxa" w:w="120"/>
            </w:tcMar>
          </w:tcPr>
          <w:p>
            <w:pPr>
              <w:spacing w:after="0" w:line="260"/>
            </w:pPr>
            <w:r>
              <w:rPr>
                <w:b w:val="false"/>
                <w:bCs w:val="false"/>
                <w:color w:val="131313"/>
                <w:sz w:val="20"/>
                <w:szCs w:val="20"/>
              </w:rPr>
              <w:t xml:space="preserve">40 minutos</w:t>
            </w:r>
          </w:p>
        </w:tc>
        <w:tc>
          <w:tcPr>
            <w:tcW w:type="dxa" w:w="2960"/>
            <w:tcMar>
              <w:top w:type="dxa" w:w="80"/>
              <w:left w:type="dxa" w:w="120"/>
              <w:bottom w:type="dxa" w:w="80"/>
              <w:right w:type="dxa" w:w="120"/>
            </w:tcMar>
          </w:tcPr>
          <w:p>
            <w:pPr>
              <w:spacing w:after="0" w:line="260"/>
            </w:pPr>
            <w:r>
              <w:rPr>
                <w:b w:val="false"/>
                <w:bCs w:val="false"/>
                <w:color w:val="131313"/>
                <w:sz w:val="20"/>
                <w:szCs w:val="20"/>
              </w:rPr>
              <w:t xml:space="preserve">Menos de 60 minutos</w:t>
            </w:r>
          </w:p>
        </w:tc>
      </w:tr>
      <w:tr>
        <w:tc>
          <w:tcPr>
            <w:tcW w:type="dxa" w:w="3800"/>
            <w:tcMar>
              <w:top w:type="dxa" w:w="80"/>
              <w:left w:type="dxa" w:w="120"/>
              <w:bottom w:type="dxa" w:w="80"/>
              <w:right w:type="dxa" w:w="120"/>
            </w:tcMar>
          </w:tcPr>
          <w:p>
            <w:pPr>
              <w:spacing w:after="0" w:line="260"/>
            </w:pPr>
            <w:r>
              <w:rPr>
                <w:b w:val="false"/>
                <w:bCs w:val="false"/>
                <w:color w:val="131313"/>
                <w:sz w:val="20"/>
                <w:szCs w:val="20"/>
              </w:rPr>
              <w:t xml:space="preserve">Duplicación de código</w:t>
            </w:r>
          </w:p>
        </w:tc>
        <w:tc>
          <w:tcPr>
            <w:tcW w:type="dxa" w:w="2600"/>
            <w:tcMar>
              <w:top w:type="dxa" w:w="80"/>
              <w:left w:type="dxa" w:w="120"/>
              <w:bottom w:type="dxa" w:w="80"/>
              <w:right w:type="dxa" w:w="120"/>
            </w:tcMar>
          </w:tcPr>
          <w:p>
            <w:pPr>
              <w:spacing w:after="0" w:line="260"/>
            </w:pPr>
            <w:r>
              <w:rPr>
                <w:b w:val="false"/>
                <w:bCs w:val="false"/>
                <w:color w:val="131313"/>
                <w:sz w:val="20"/>
                <w:szCs w:val="20"/>
              </w:rPr>
              <w:t xml:space="preserve">0.0 %</w:t>
            </w:r>
          </w:p>
        </w:tc>
        <w:tc>
          <w:tcPr>
            <w:tcW w:type="dxa" w:w="2960"/>
            <w:tcMar>
              <w:top w:type="dxa" w:w="80"/>
              <w:left w:type="dxa" w:w="120"/>
              <w:bottom w:type="dxa" w:w="80"/>
              <w:right w:type="dxa" w:w="120"/>
            </w:tcMar>
          </w:tcPr>
          <w:p>
            <w:pPr>
              <w:spacing w:after="0" w:line="260"/>
            </w:pPr>
            <w:r>
              <w:rPr>
                <w:b w:val="false"/>
                <w:bCs w:val="false"/>
                <w:color w:val="131313"/>
                <w:sz w:val="20"/>
                <w:szCs w:val="20"/>
              </w:rPr>
              <w:t xml:space="preserve">Menos de 3 %</w:t>
            </w:r>
          </w:p>
        </w:tc>
      </w:tr>
      <w:tr>
        <w:tc>
          <w:tcPr>
            <w:tcW w:type="dxa" w:w="3800"/>
            <w:tcMar>
              <w:top w:type="dxa" w:w="80"/>
              <w:left w:type="dxa" w:w="120"/>
              <w:bottom w:type="dxa" w:w="80"/>
              <w:right w:type="dxa" w:w="120"/>
            </w:tcMar>
          </w:tcPr>
          <w:p>
            <w:pPr>
              <w:spacing w:after="0" w:line="260"/>
            </w:pPr>
            <w:r>
              <w:rPr>
                <w:b w:val="false"/>
                <w:bCs w:val="false"/>
                <w:color w:val="131313"/>
                <w:sz w:val="20"/>
                <w:szCs w:val="20"/>
              </w:rPr>
              <w:t xml:space="preserve">Hallazgos de seguridad de riesgo medio o superior</w:t>
            </w:r>
          </w:p>
        </w:tc>
        <w:tc>
          <w:tcPr>
            <w:tcW w:type="dxa" w:w="2600"/>
            <w:tcMar>
              <w:top w:type="dxa" w:w="80"/>
              <w:left w:type="dxa" w:w="120"/>
              <w:bottom w:type="dxa" w:w="80"/>
              <w:right w:type="dxa" w:w="120"/>
            </w:tcMar>
          </w:tcPr>
          <w:p>
            <w:pPr>
              <w:spacing w:after="0" w:line="260"/>
            </w:pPr>
            <w:r>
              <w:rPr>
                <w:b w:val="false"/>
                <w:bCs w:val="false"/>
                <w:color w:val="131313"/>
                <w:sz w:val="20"/>
                <w:szCs w:val="20"/>
              </w:rPr>
              <w:t xml:space="preserve">3</w:t>
            </w:r>
          </w:p>
        </w:tc>
        <w:tc>
          <w:tcPr>
            <w:tcW w:type="dxa" w:w="2960"/>
            <w:tcMar>
              <w:top w:type="dxa" w:w="80"/>
              <w:left w:type="dxa" w:w="120"/>
              <w:bottom w:type="dxa" w:w="80"/>
              <w:right w:type="dxa" w:w="120"/>
            </w:tcMar>
          </w:tcPr>
          <w:p>
            <w:pPr>
              <w:spacing w:after="0" w:line="260"/>
            </w:pPr>
            <w:r>
              <w:rPr>
                <w:b w:val="false"/>
                <w:bCs w:val="false"/>
                <w:color w:val="131313"/>
                <w:sz w:val="20"/>
                <w:szCs w:val="20"/>
              </w:rPr>
              <w:t xml:space="preserve">0</w:t>
            </w:r>
          </w:p>
        </w:tc>
      </w:tr>
    </w:tbl>
    <w:p>
      <w:pPr>
        <w:pStyle w:val="Heading1"/>
        <w:spacing w:after="160" w:before="360"/>
      </w:pPr>
      <w:r>
        <w:rPr>
          <w:b/>
          <w:bCs/>
          <w:color w:val="131313"/>
          <w:sz w:val="30"/>
          <w:szCs w:val="30"/>
        </w:rPr>
        <w:t xml:space="preserve">Anexo. Evidencia</w:t>
      </w:r>
    </w:p>
    <w:p>
      <w:pPr>
        <w:spacing w:after="120" w:line="276"/>
      </w:pPr>
      <w:r>
        <w:rPr>
          <w:color w:val="131313"/>
          <w:sz w:val="22"/>
          <w:szCs w:val="22"/>
        </w:rPr>
        <w:t xml:space="preserve">Todos los datos citados provienen de reportes generados automáticamente y versionados en el repositorio, en la carpeta reports.</w:t>
      </w:r>
    </w:p>
    <w:tbl>
      <w:tblPr>
        <w:tblW w:type="dxa" w:w="9360"/>
        <w:tblBorders>
          <w:top w:val="single" w:color="D4D4D4" w:sz="4"/>
          <w:left w:val="single" w:color="D4D4D4" w:sz="4"/>
          <w:bottom w:val="single" w:color="D4D4D4" w:sz="4"/>
          <w:right w:val="single" w:color="D4D4D4" w:sz="4"/>
          <w:insideH w:val="single" w:color="D4D4D4" w:sz="4"/>
          <w:insideV w:val="single" w:color="D4D4D4" w:sz="4"/>
        </w:tblBorders>
      </w:tblPr>
      <w:tblGrid>
        <w:gridCol w:w="3000"/>
        <w:gridCol w:w="3200"/>
        <w:gridCol w:w="3160"/>
      </w:tblGrid>
      <w:tr>
        <w:trPr>
          <w:tblHeader/>
        </w:trPr>
        <w:tc>
          <w:tcPr>
            <w:tcW w:type="dxa" w:w="3000"/>
            <w:shd w:fill="EFEFEF" w:color="auto" w:val="clear"/>
            <w:tcMar>
              <w:top w:type="dxa" w:w="80"/>
              <w:left w:type="dxa" w:w="120"/>
              <w:bottom w:type="dxa" w:w="80"/>
              <w:right w:type="dxa" w:w="120"/>
            </w:tcMar>
          </w:tcPr>
          <w:p>
            <w:pPr>
              <w:spacing w:after="0" w:line="260"/>
            </w:pPr>
            <w:r>
              <w:rPr>
                <w:b/>
                <w:bCs/>
                <w:color w:val="131313"/>
                <w:sz w:val="20"/>
                <w:szCs w:val="20"/>
              </w:rPr>
              <w:t xml:space="preserve">Evidencia</w:t>
            </w:r>
          </w:p>
        </w:tc>
        <w:tc>
          <w:tcPr>
            <w:tcW w:type="dxa" w:w="3200"/>
            <w:shd w:fill="EFEFEF" w:color="auto" w:val="clear"/>
            <w:tcMar>
              <w:top w:type="dxa" w:w="80"/>
              <w:left w:type="dxa" w:w="120"/>
              <w:bottom w:type="dxa" w:w="80"/>
              <w:right w:type="dxa" w:w="120"/>
            </w:tcMar>
          </w:tcPr>
          <w:p>
            <w:pPr>
              <w:spacing w:after="0" w:line="260"/>
            </w:pPr>
            <w:r>
              <w:rPr>
                <w:b/>
                <w:bCs/>
                <w:color w:val="131313"/>
                <w:sz w:val="20"/>
                <w:szCs w:val="20"/>
              </w:rPr>
              <w:t xml:space="preserve">Ubicación</w:t>
            </w:r>
          </w:p>
        </w:tc>
        <w:tc>
          <w:tcPr>
            <w:tcW w:type="dxa" w:w="3160"/>
            <w:shd w:fill="EFEFEF" w:color="auto" w:val="clear"/>
            <w:tcMar>
              <w:top w:type="dxa" w:w="80"/>
              <w:left w:type="dxa" w:w="120"/>
              <w:bottom w:type="dxa" w:w="80"/>
              <w:right w:type="dxa" w:w="120"/>
            </w:tcMar>
          </w:tcPr>
          <w:p>
            <w:pPr>
              <w:spacing w:after="0" w:line="260"/>
            </w:pPr>
            <w:r>
              <w:rPr>
                <w:b/>
                <w:bCs/>
                <w:color w:val="131313"/>
                <w:sz w:val="20"/>
                <w:szCs w:val="20"/>
              </w:rPr>
              <w:t xml:space="preserve">Herramienta</w:t>
            </w:r>
          </w:p>
        </w:tc>
      </w:tr>
      <w:tr>
        <w:tc>
          <w:tcPr>
            <w:tcW w:type="dxa" w:w="3000"/>
            <w:tcMar>
              <w:top w:type="dxa" w:w="80"/>
              <w:left w:type="dxa" w:w="120"/>
              <w:bottom w:type="dxa" w:w="80"/>
              <w:right w:type="dxa" w:w="120"/>
            </w:tcMar>
          </w:tcPr>
          <w:p>
            <w:pPr>
              <w:spacing w:after="0" w:line="260"/>
            </w:pPr>
            <w:r>
              <w:rPr>
                <w:b w:val="false"/>
                <w:bCs w:val="false"/>
                <w:color w:val="131313"/>
                <w:sz w:val="20"/>
                <w:szCs w:val="20"/>
              </w:rPr>
              <w:t xml:space="preserve">Pruebas unitarias y cobertura</w:t>
            </w:r>
          </w:p>
        </w:tc>
        <w:tc>
          <w:tcPr>
            <w:tcW w:type="dxa" w:w="3200"/>
            <w:tcMar>
              <w:top w:type="dxa" w:w="80"/>
              <w:left w:type="dxa" w:w="120"/>
              <w:bottom w:type="dxa" w:w="80"/>
              <w:right w:type="dxa" w:w="120"/>
            </w:tcMar>
          </w:tcPr>
          <w:p>
            <w:pPr>
              <w:spacing w:after="0" w:line="260"/>
            </w:pPr>
            <w:r>
              <w:rPr>
                <w:b w:val="false"/>
                <w:bCs w:val="false"/>
                <w:color w:val="131313"/>
                <w:sz w:val="20"/>
                <w:szCs w:val="20"/>
              </w:rPr>
              <w:t xml:space="preserve">reports/pruebas/</w:t>
            </w:r>
          </w:p>
        </w:tc>
        <w:tc>
          <w:tcPr>
            <w:tcW w:type="dxa" w:w="3160"/>
            <w:tcMar>
              <w:top w:type="dxa" w:w="80"/>
              <w:left w:type="dxa" w:w="120"/>
              <w:bottom w:type="dxa" w:w="80"/>
              <w:right w:type="dxa" w:w="120"/>
            </w:tcMar>
          </w:tcPr>
          <w:p>
            <w:pPr>
              <w:spacing w:after="0" w:line="260"/>
            </w:pPr>
            <w:r>
              <w:rPr>
                <w:b w:val="false"/>
                <w:bCs w:val="false"/>
                <w:color w:val="131313"/>
                <w:sz w:val="20"/>
                <w:szCs w:val="20"/>
              </w:rPr>
              <w:t xml:space="preserve">Jest</w:t>
            </w:r>
          </w:p>
        </w:tc>
      </w:tr>
      <w:tr>
        <w:tc>
          <w:tcPr>
            <w:tcW w:type="dxa" w:w="3000"/>
            <w:tcMar>
              <w:top w:type="dxa" w:w="80"/>
              <w:left w:type="dxa" w:w="120"/>
              <w:bottom w:type="dxa" w:w="80"/>
              <w:right w:type="dxa" w:w="120"/>
            </w:tcMar>
          </w:tcPr>
          <w:p>
            <w:pPr>
              <w:spacing w:after="0" w:line="260"/>
            </w:pPr>
            <w:r>
              <w:rPr>
                <w:b w:val="false"/>
                <w:bCs w:val="false"/>
                <w:color w:val="131313"/>
                <w:sz w:val="20"/>
                <w:szCs w:val="20"/>
              </w:rPr>
              <w:t xml:space="preserve">Métricas de calidad de código</w:t>
            </w:r>
          </w:p>
        </w:tc>
        <w:tc>
          <w:tcPr>
            <w:tcW w:type="dxa" w:w="3200"/>
            <w:tcMar>
              <w:top w:type="dxa" w:w="80"/>
              <w:left w:type="dxa" w:w="120"/>
              <w:bottom w:type="dxa" w:w="80"/>
              <w:right w:type="dxa" w:w="120"/>
            </w:tcMar>
          </w:tcPr>
          <w:p>
            <w:pPr>
              <w:spacing w:after="0" w:line="260"/>
            </w:pPr>
            <w:r>
              <w:rPr>
                <w:b w:val="false"/>
                <w:bCs w:val="false"/>
                <w:color w:val="131313"/>
                <w:sz w:val="20"/>
                <w:szCs w:val="20"/>
              </w:rPr>
              <w:t xml:space="preserve">reports/calidad/</w:t>
            </w:r>
          </w:p>
        </w:tc>
        <w:tc>
          <w:tcPr>
            <w:tcW w:type="dxa" w:w="3160"/>
            <w:tcMar>
              <w:top w:type="dxa" w:w="80"/>
              <w:left w:type="dxa" w:w="120"/>
              <w:bottom w:type="dxa" w:w="80"/>
              <w:right w:type="dxa" w:w="120"/>
            </w:tcMar>
          </w:tcPr>
          <w:p>
            <w:pPr>
              <w:spacing w:after="0" w:line="260"/>
            </w:pPr>
            <w:r>
              <w:rPr>
                <w:b w:val="false"/>
                <w:bCs w:val="false"/>
                <w:color w:val="131313"/>
                <w:sz w:val="20"/>
                <w:szCs w:val="20"/>
              </w:rPr>
              <w:t xml:space="preserve">SonarQube Cloud</w:t>
            </w:r>
          </w:p>
        </w:tc>
      </w:tr>
      <w:tr>
        <w:tc>
          <w:tcPr>
            <w:tcW w:type="dxa" w:w="3000"/>
            <w:tcMar>
              <w:top w:type="dxa" w:w="80"/>
              <w:left w:type="dxa" w:w="120"/>
              <w:bottom w:type="dxa" w:w="80"/>
              <w:right w:type="dxa" w:w="120"/>
            </w:tcMar>
          </w:tcPr>
          <w:p>
            <w:pPr>
              <w:spacing w:after="0" w:line="260"/>
            </w:pPr>
            <w:r>
              <w:rPr>
                <w:b w:val="false"/>
                <w:bCs w:val="false"/>
                <w:color w:val="131313"/>
                <w:sz w:val="20"/>
                <w:szCs w:val="20"/>
              </w:rPr>
              <w:t xml:space="preserve">Escaneo de seguridad</w:t>
            </w:r>
          </w:p>
        </w:tc>
        <w:tc>
          <w:tcPr>
            <w:tcW w:type="dxa" w:w="3200"/>
            <w:tcMar>
              <w:top w:type="dxa" w:w="80"/>
              <w:left w:type="dxa" w:w="120"/>
              <w:bottom w:type="dxa" w:w="80"/>
              <w:right w:type="dxa" w:w="120"/>
            </w:tcMar>
          </w:tcPr>
          <w:p>
            <w:pPr>
              <w:spacing w:after="0" w:line="260"/>
            </w:pPr>
            <w:r>
              <w:rPr>
                <w:b w:val="false"/>
                <w:bCs w:val="false"/>
                <w:color w:val="131313"/>
                <w:sz w:val="20"/>
                <w:szCs w:val="20"/>
              </w:rPr>
              <w:t xml:space="preserve">reports/seguridad/</w:t>
            </w:r>
          </w:p>
        </w:tc>
        <w:tc>
          <w:tcPr>
            <w:tcW w:type="dxa" w:w="3160"/>
            <w:tcMar>
              <w:top w:type="dxa" w:w="80"/>
              <w:left w:type="dxa" w:w="120"/>
              <w:bottom w:type="dxa" w:w="80"/>
              <w:right w:type="dxa" w:w="120"/>
            </w:tcMar>
          </w:tcPr>
          <w:p>
            <w:pPr>
              <w:spacing w:after="0" w:line="260"/>
            </w:pPr>
            <w:r>
              <w:rPr>
                <w:b w:val="false"/>
                <w:bCs w:val="false"/>
                <w:color w:val="131313"/>
                <w:sz w:val="20"/>
                <w:szCs w:val="20"/>
              </w:rPr>
              <w:t xml:space="preserve">OWASP ZAP</w:t>
            </w:r>
          </w:p>
        </w:tc>
      </w:tr>
      <w:tr>
        <w:tc>
          <w:tcPr>
            <w:tcW w:type="dxa" w:w="3000"/>
            <w:tcMar>
              <w:top w:type="dxa" w:w="80"/>
              <w:left w:type="dxa" w:w="120"/>
              <w:bottom w:type="dxa" w:w="80"/>
              <w:right w:type="dxa" w:w="120"/>
            </w:tcMar>
          </w:tcPr>
          <w:p>
            <w:pPr>
              <w:spacing w:after="0" w:line="260"/>
            </w:pPr>
            <w:r>
              <w:rPr>
                <w:b w:val="false"/>
                <w:bCs w:val="false"/>
                <w:color w:val="131313"/>
                <w:sz w:val="20"/>
                <w:szCs w:val="20"/>
              </w:rPr>
              <w:t xml:space="preserve">Seguimiento de tareas</w:t>
            </w:r>
          </w:p>
        </w:tc>
        <w:tc>
          <w:tcPr>
            <w:tcW w:type="dxa" w:w="3200"/>
            <w:tcMar>
              <w:top w:type="dxa" w:w="80"/>
              <w:left w:type="dxa" w:w="120"/>
              <w:bottom w:type="dxa" w:w="80"/>
              <w:right w:type="dxa" w:w="120"/>
            </w:tcMar>
          </w:tcPr>
          <w:p>
            <w:pPr>
              <w:spacing w:after="0" w:line="260"/>
            </w:pPr>
            <w:r>
              <w:rPr>
                <w:b w:val="false"/>
                <w:bCs w:val="false"/>
                <w:color w:val="131313"/>
                <w:sz w:val="20"/>
                <w:szCs w:val="20"/>
              </w:rPr>
              <w:t xml:space="preserve">tasks.md</w:t>
            </w:r>
          </w:p>
        </w:tc>
        <w:tc>
          <w:tcPr>
            <w:tcW w:type="dxa" w:w="3160"/>
            <w:tcMar>
              <w:top w:type="dxa" w:w="80"/>
              <w:left w:type="dxa" w:w="120"/>
              <w:bottom w:type="dxa" w:w="80"/>
              <w:right w:type="dxa" w:w="120"/>
            </w:tcMar>
          </w:tcPr>
          <w:p>
            <w:pPr>
              <w:spacing w:after="0" w:line="260"/>
            </w:pPr>
            <w:r>
              <w:rPr>
                <w:b w:val="false"/>
                <w:bCs w:val="false"/>
                <w:color w:val="131313"/>
                <w:sz w:val="20"/>
                <w:szCs w:val="20"/>
              </w:rPr>
              <w:t xml:space="preserve">Registro manual por tarea</w:t>
            </w:r>
          </w:p>
        </w:tc>
      </w:tr>
      <w:tr>
        <w:tc>
          <w:tcPr>
            <w:tcW w:type="dxa" w:w="3000"/>
            <w:tcMar>
              <w:top w:type="dxa" w:w="80"/>
              <w:left w:type="dxa" w:w="120"/>
              <w:bottom w:type="dxa" w:w="80"/>
              <w:right w:type="dxa" w:w="120"/>
            </w:tcMar>
          </w:tcPr>
          <w:p>
            <w:pPr>
              <w:spacing w:after="0" w:line="260"/>
            </w:pPr>
            <w:r>
              <w:rPr>
                <w:b w:val="false"/>
                <w:bCs w:val="false"/>
                <w:color w:val="131313"/>
                <w:sz w:val="20"/>
                <w:szCs w:val="20"/>
              </w:rPr>
              <w:t xml:space="preserve">Integración y entrega continuas</w:t>
            </w:r>
          </w:p>
        </w:tc>
        <w:tc>
          <w:tcPr>
            <w:tcW w:type="dxa" w:w="3200"/>
            <w:tcMar>
              <w:top w:type="dxa" w:w="80"/>
              <w:left w:type="dxa" w:w="120"/>
              <w:bottom w:type="dxa" w:w="80"/>
              <w:right w:type="dxa" w:w="120"/>
            </w:tcMar>
          </w:tcPr>
          <w:p>
            <w:pPr>
              <w:spacing w:after="0" w:line="260"/>
            </w:pPr>
            <w:r>
              <w:rPr>
                <w:b w:val="false"/>
                <w:bCs w:val="false"/>
                <w:color w:val="131313"/>
                <w:sz w:val="20"/>
                <w:szCs w:val="20"/>
              </w:rPr>
              <w:t xml:space="preserve">.github/workflows/</w:t>
            </w:r>
          </w:p>
        </w:tc>
        <w:tc>
          <w:tcPr>
            <w:tcW w:type="dxa" w:w="3160"/>
            <w:tcMar>
              <w:top w:type="dxa" w:w="80"/>
              <w:left w:type="dxa" w:w="120"/>
              <w:bottom w:type="dxa" w:w="80"/>
              <w:right w:type="dxa" w:w="120"/>
            </w:tcMar>
          </w:tcPr>
          <w:p>
            <w:pPr>
              <w:spacing w:after="0" w:line="260"/>
            </w:pPr>
            <w:r>
              <w:rPr>
                <w:b w:val="false"/>
                <w:bCs w:val="false"/>
                <w:color w:val="131313"/>
                <w:sz w:val="20"/>
                <w:szCs w:val="20"/>
              </w:rPr>
              <w:t xml:space="preserve">GitHub Actions</w:t>
            </w:r>
          </w:p>
        </w:tc>
      </w:tr>
      <w:tr>
        <w:tc>
          <w:tcPr>
            <w:tcW w:type="dxa" w:w="3000"/>
            <w:tcMar>
              <w:top w:type="dxa" w:w="80"/>
              <w:left w:type="dxa" w:w="120"/>
              <w:bottom w:type="dxa" w:w="80"/>
              <w:right w:type="dxa" w:w="120"/>
            </w:tcMar>
          </w:tcPr>
          <w:p>
            <w:pPr>
              <w:spacing w:after="0" w:line="260"/>
            </w:pPr>
            <w:r>
              <w:rPr>
                <w:b w:val="false"/>
                <w:bCs w:val="false"/>
                <w:color w:val="131313"/>
                <w:sz w:val="20"/>
                <w:szCs w:val="20"/>
              </w:rPr>
              <w:t xml:space="preserve">Control de acceso de la base de datos</w:t>
            </w:r>
          </w:p>
        </w:tc>
        <w:tc>
          <w:tcPr>
            <w:tcW w:type="dxa" w:w="3200"/>
            <w:tcMar>
              <w:top w:type="dxa" w:w="80"/>
              <w:left w:type="dxa" w:w="120"/>
              <w:bottom w:type="dxa" w:w="80"/>
              <w:right w:type="dxa" w:w="120"/>
            </w:tcMar>
          </w:tcPr>
          <w:p>
            <w:pPr>
              <w:spacing w:after="0" w:line="260"/>
            </w:pPr>
            <w:r>
              <w:rPr>
                <w:b w:val="false"/>
                <w:bCs w:val="false"/>
                <w:color w:val="131313"/>
                <w:sz w:val="20"/>
                <w:szCs w:val="20"/>
              </w:rPr>
              <w:t xml:space="preserve">supabase/tests/rls.sql</w:t>
            </w:r>
          </w:p>
        </w:tc>
        <w:tc>
          <w:tcPr>
            <w:tcW w:type="dxa" w:w="3160"/>
            <w:tcMar>
              <w:top w:type="dxa" w:w="80"/>
              <w:left w:type="dxa" w:w="120"/>
              <w:bottom w:type="dxa" w:w="80"/>
              <w:right w:type="dxa" w:w="120"/>
            </w:tcMar>
          </w:tcPr>
          <w:p>
            <w:pPr>
              <w:spacing w:after="0" w:line="260"/>
            </w:pPr>
            <w:r>
              <w:rPr>
                <w:b w:val="false"/>
                <w:bCs w:val="false"/>
                <w:color w:val="131313"/>
                <w:sz w:val="20"/>
                <w:szCs w:val="20"/>
              </w:rPr>
              <w:t xml:space="preserve">Pruebas en SQL</w:t>
            </w:r>
          </w:p>
        </w:tc>
      </w:tr>
    </w:tbl>
    <w:p>
      <w:pPr>
        <w:spacing w:after="200"/>
      </w:pPr>
    </w:p>
    <w:p>
      <w:pPr>
        <w:spacing w:after="120" w:line="276"/>
      </w:pPr>
      <w:r>
        <w:rPr>
          <w:color w:val="595959"/>
          <w:sz w:val="20"/>
          <w:szCs w:val="20"/>
        </w:rPr>
        <w:t xml:space="preserve">Nota sobre el alcance del escaneo de seguridad: se ejecutó en modo pasivo sobre la aplicación desplegada. Se descartó el modo activo de forma deliberada, ya que envía ataques reales contra el objetivo y el despliegue analizado utiliza la base de datos de producción. Además, al no disponer el escáner de credenciales, el análisis cubre la superficie no autenticada de la aplicación.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cierre del proyecto KAVI</dc:title>
  <dc:creator>Areli Soraya Perdue Centeno</dc:creator>
  <dc:description>Comparación entre planificación e implementación, lecciones aprendidas y plan de mejora continua</dc:description>
  <cp:lastModifiedBy>Un-named</cp:lastModifiedBy>
  <cp:revision>1</cp:revision>
  <dcterms:created xsi:type="dcterms:W3CDTF">2026-09-22T11:57:10.856Z</dcterms:created>
  <dcterms:modified xsi:type="dcterms:W3CDTF">2026-09-22T11:57:10.856Z</dcterms:modified>
</cp:coreProperties>
</file>

<file path=docProps/custom.xml><?xml version="1.0" encoding="utf-8"?>
<Properties xmlns="http://schemas.openxmlformats.org/officeDocument/2006/custom-properties" xmlns:vt="http://schemas.openxmlformats.org/officeDocument/2006/docPropsVTypes"/>
</file>