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20"/>
        <w:jc w:val="center"/>
      </w:pPr>
      <w:r>
        <w:rPr>
          <w:rFonts w:ascii="Aptos Display" w:hAnsi="Aptos Display"/>
          <w:b/>
          <w:color w:val="1F374F"/>
          <w:sz w:val="42"/>
        </w:rPr>
        <w:t>MOMENTO DE REFLEXIONAR</w:t>
      </w:r>
    </w:p>
    <w:p>
      <w:pPr>
        <w:spacing w:after="180"/>
        <w:jc w:val="center"/>
      </w:pPr>
      <w:r>
        <w:rPr>
          <w:rFonts w:ascii="Aptos Display" w:hAnsi="Aptos Display"/>
          <w:color w:val="1F6670"/>
          <w:sz w:val="26"/>
        </w:rPr>
        <w:t>Inclusión educativa y buenas prácticas docentes</w:t>
      </w:r>
    </w:p>
    <w:tbl>
      <w:tblPr>
        <w:tblW w:type="auto" w:w="0"/>
        <w:jc w:val="center"/>
        <w:tblLayout w:type="fixed"/>
        <w:tblLook w:firstColumn="1" w:firstRow="1" w:lastColumn="0" w:lastRow="0" w:noHBand="0" w:noVBand="1" w:val="04A0"/>
      </w:tblPr>
      <w:tblGrid>
        <w:gridCol w:w="4535"/>
        <w:gridCol w:w="4535"/>
      </w:tblGrid>
      <w:tr>
        <w:tc>
          <w:tcPr>
            <w:tcW w:type="dxa" w:w="4844"/>
            <w:shd w:fill="F2F7F7"/>
            <w:tcMar>
              <w:top w:w="80" w:type="dxa"/>
              <w:start w:w="110" w:type="dxa"/>
              <w:bottom w:w="80" w:type="dxa"/>
              <w:end w:w="110" w:type="dxa"/>
            </w:tcMar>
            <w:vAlign w:val="center"/>
          </w:tcPr>
          <w:p>
            <w:pPr>
              <w:spacing w:after="0" w:line="240" w:lineRule="auto"/>
            </w:pPr>
            <w:r>
              <w:rPr>
                <w:rFonts w:ascii="Aptos" w:hAnsi="Aptos"/>
                <w:b/>
                <w:color w:val="1F6670"/>
                <w:sz w:val="17"/>
              </w:rPr>
              <w:t xml:space="preserve">Curso: </w:t>
            </w:r>
            <w:r>
              <w:rPr>
                <w:rFonts w:ascii="Aptos" w:hAnsi="Aptos"/>
                <w:b w:val="0"/>
                <w:color w:val="373E43"/>
                <w:sz w:val="17"/>
              </w:rPr>
              <w:t>Formación Profesional con Enfoque en Discapacidad e Inclusión</w:t>
            </w:r>
          </w:p>
        </w:tc>
        <w:tc>
          <w:tcPr>
            <w:tcW w:type="dxa" w:w="4844"/>
            <w:shd w:fill="F2F7F7"/>
            <w:tcMar>
              <w:top w:w="80" w:type="dxa"/>
              <w:start w:w="110" w:type="dxa"/>
              <w:bottom w:w="80" w:type="dxa"/>
              <w:end w:w="110" w:type="dxa"/>
            </w:tcMar>
            <w:vAlign w:val="center"/>
          </w:tcPr>
          <w:p>
            <w:pPr>
              <w:spacing w:after="0" w:line="240" w:lineRule="auto"/>
            </w:pPr>
            <w:r>
              <w:rPr>
                <w:rFonts w:ascii="Aptos" w:hAnsi="Aptos"/>
                <w:b/>
                <w:color w:val="1F6670"/>
                <w:sz w:val="17"/>
              </w:rPr>
              <w:t xml:space="preserve">Sección: </w:t>
            </w:r>
            <w:r>
              <w:rPr>
                <w:rFonts w:ascii="Aptos" w:hAnsi="Aptos"/>
                <w:b w:val="0"/>
                <w:color w:val="373E43"/>
                <w:sz w:val="17"/>
              </w:rPr>
              <w:t>57137</w:t>
            </w:r>
          </w:p>
        </w:tc>
      </w:tr>
      <w:tr>
        <w:tc>
          <w:tcPr>
            <w:tcW w:type="dxa" w:w="4844"/>
            <w:shd w:fill="F2F7F7"/>
            <w:tcMar>
              <w:top w:w="80" w:type="dxa"/>
              <w:start w:w="110" w:type="dxa"/>
              <w:bottom w:w="80" w:type="dxa"/>
              <w:end w:w="110" w:type="dxa"/>
            </w:tcMar>
            <w:vAlign w:val="center"/>
          </w:tcPr>
          <w:p>
            <w:pPr>
              <w:spacing w:after="0" w:line="240" w:lineRule="auto"/>
            </w:pPr>
            <w:r>
              <w:rPr>
                <w:rFonts w:ascii="Aptos" w:hAnsi="Aptos"/>
                <w:b/>
                <w:color w:val="1F6670"/>
                <w:sz w:val="17"/>
              </w:rPr>
              <w:t xml:space="preserve">Estudiante: </w:t>
            </w:r>
            <w:r>
              <w:rPr>
                <w:rFonts w:ascii="Aptos" w:hAnsi="Aptos"/>
                <w:b w:val="0"/>
                <w:color w:val="373E43"/>
                <w:sz w:val="17"/>
              </w:rPr>
              <w:t>________________________________</w:t>
            </w:r>
          </w:p>
        </w:tc>
        <w:tc>
          <w:tcPr>
            <w:tcW w:type="dxa" w:w="4844"/>
            <w:shd w:fill="F2F7F7"/>
            <w:tcMar>
              <w:top w:w="80" w:type="dxa"/>
              <w:start w:w="110" w:type="dxa"/>
              <w:bottom w:w="80" w:type="dxa"/>
              <w:end w:w="110" w:type="dxa"/>
            </w:tcMar>
            <w:vAlign w:val="center"/>
          </w:tcPr>
          <w:p>
            <w:pPr>
              <w:spacing w:after="0" w:line="240" w:lineRule="auto"/>
            </w:pPr>
            <w:r>
              <w:rPr>
                <w:rFonts w:ascii="Aptos" w:hAnsi="Aptos"/>
                <w:b/>
                <w:color w:val="1F6670"/>
                <w:sz w:val="17"/>
              </w:rPr>
              <w:t xml:space="preserve">Fecha: </w:t>
            </w:r>
            <w:r>
              <w:rPr>
                <w:rFonts w:ascii="Aptos" w:hAnsi="Aptos"/>
                <w:b w:val="0"/>
                <w:color w:val="373E43"/>
                <w:sz w:val="17"/>
              </w:rPr>
              <w:t>________________________________</w:t>
            </w:r>
          </w:p>
        </w:tc>
      </w:tr>
    </w:tbl>
    <w:p>
      <w:pPr>
        <w:pStyle w:val="BodyTextCustom"/>
        <w:spacing w:before="160"/>
      </w:pPr>
      <w:r>
        <w:t>Después de revisar la lectura y escuchar la experiencia de Silvana Corso, me queda una idea central: la inclusión no consiste únicamente en permitir que un estudiante ingrese a una escuela, sino en lograr que pueda aprender, participar y sentirse parte del grupo. Para que eso ocurra, no basta con tener buenas intenciones; también necesitamos docentes preparados, dispuestos a revisar sus prácticas y a reconocer que cada estudiante tiene una manera particular de aprender.</w:t>
      </w:r>
    </w:p>
    <w:p>
      <w:pPr>
        <w:pStyle w:val="Heading1"/>
        <w:keepNext/>
      </w:pPr>
      <w:r>
        <w:t>1. ¿Por qué es importante que los docentes estén preparados para enseñar a todos?</w:t>
      </w:r>
    </w:p>
    <w:p>
      <w:pPr>
        <w:pStyle w:val="BodyTextCustom"/>
        <w:keepLines/>
      </w:pPr>
      <w:r>
        <w:t>Considero que la preparación docente es fundamental porque en un aula no todos aprendemos al mismo ritmo ni de la misma manera. Hay estudiantes que comprenden mejor cuando escuchan una explicación, otros necesitan imágenes, ejemplos concretos, instrucciones por pasos o un poco más de tiempo. Si el profesor utiliza siempre una sola forma de enseñar y evaluar, algunos alumnos pueden quedarse atrás, no necesariamente porque no sean capaces, sino porque la estrategia no responde a sus necesidades.</w:t>
      </w:r>
    </w:p>
    <w:p>
      <w:pPr>
        <w:pStyle w:val="BodyTextCustom"/>
        <w:keepLines/>
      </w:pPr>
      <w:r>
        <w:t>La lectura del GEM Report (2020) señala que enseñar desde un enfoque inclusivo implica reconocer las capacidades y experiencias de cada estudiante, mantener una actitud abierta ante la diversidad y evitar los prejuicios que llevan a pensar que ciertas personas no pueden aprender. Esto me parece importante porque las expectativas del docente influyen mucho: cuando se etiqueta a un estudiante como “incapaz” o se espera poco de él, se le cierran oportunidades antes de darle la posibilidad de demostrar lo que sabe.</w:t>
      </w:r>
    </w:p>
    <w:p>
      <w:pPr>
        <w:pStyle w:val="BodyTextCustom"/>
        <w:keepLines/>
      </w:pPr>
      <w:r>
        <w:t>Estar preparado significa contar con herramientas para adaptar las explicaciones, los materiales, las actividades y las evaluaciones sin renunciar a que todos aprendan. Por ejemplo, si un estudiante tiene dificultad para seguir una indicación oral, podemos acompañarla con imágenes o escribir los pasos en la pizarra, comprobar con respeto si la comprendió y ofrecer distintas maneras de demostrar lo aprendido. No se trata de hacerle todo más fácil ni de separarlo del grupo, sino de quitar barreras para que pueda participar en la misma experiencia educativa.</w:t>
      </w:r>
    </w:p>
    <w:p>
      <w:pPr>
        <w:pStyle w:val="BodyTextCustom"/>
        <w:keepLines/>
      </w:pPr>
      <w:r>
        <w:t>También entiendo que esta responsabilidad no puede recaer únicamente en el profesor. La escuela debe ofrecer capacitación, tiempo para coordinar, recursos accesibles y apoyo de las familias y de otros profesionales cuando sea necesario. La inclusión es un trabajo compartido: se construye en el aula, pero también en las decisiones y actitudes de toda la comunidad educativa.</w:t>
      </w:r>
    </w:p>
    <w:p>
      <w:pPr>
        <w:pStyle w:val="Heading1"/>
        <w:keepNext/>
      </w:pPr>
      <w:r>
        <w:t>2. Buenas prácticas docentes que identifico en el video de Silvana Corso</w:t>
      </w:r>
    </w:p>
    <w:p>
      <w:pPr>
        <w:pStyle w:val="BodyTextCustom"/>
        <w:keepLines/>
      </w:pPr>
      <w:r>
        <w:t>En el video “Para que las escuelas inclusivas dejen de ser necesarias”, Silvana Corso comparte experiencias que marcaron su vida como estudiante, madre y docente. Una parte que me llamó la atención es que, durante su niñez, algunas personas llegaron a pensar que ella no podría aprender; más adelante, otros profesores lograron ayudarla al enseñarle cómo estudiar. Esa diferencia muestra lo importante que es buscar otra manera de enseñar antes de concluir que el problema está en el estudiante.</w:t>
      </w:r>
    </w:p>
    <w:p>
      <w:pPr>
        <w:pStyle w:val="BodyTextCustom"/>
        <w:keepLines/>
      </w:pPr>
      <w:r>
        <w:rPr>
          <w:b/>
          <w:color w:val="1F4E5F"/>
        </w:rPr>
        <w:t xml:space="preserve">Escuchar y conocer a cada estudiante. </w:t>
      </w:r>
      <w:r>
        <w:t>Corso explica que su escuela busca conocer a las familias y conversar con los propios alumnos para comprender qué sienten, qué necesitan y cómo pueden aprender mejor. Esta práctica ayuda a no actuar desde suposiciones ni reducir a una persona a un diagnóstico.</w:t>
      </w:r>
    </w:p>
    <w:p>
      <w:pPr>
        <w:pStyle w:val="BodyTextCustom"/>
        <w:keepLines/>
      </w:pPr>
      <w:r>
        <w:rPr>
          <w:b/>
          <w:color w:val="1F4E5F"/>
        </w:rPr>
        <w:t xml:space="preserve">Adaptar las estrategias sin limitar las posibilidades. </w:t>
      </w:r>
      <w:r>
        <w:t>La experiencia de Corso muestra que no existe una única forma de aprender. Un buen docente observa, prueba diferentes recursos y ajusta las actividades según las necesidades de cada niño, manteniendo el propósito de que siga aprendiendo y desarrollando sus capacidades.</w:t>
      </w:r>
    </w:p>
    <w:p>
      <w:pPr>
        <w:pStyle w:val="BodyTextCustom"/>
        <w:keepLines/>
      </w:pPr>
      <w:r>
        <w:rPr>
          <w:b/>
          <w:color w:val="1F4E5F"/>
        </w:rPr>
        <w:t xml:space="preserve">Trabajar en equipo con la familia y otros profesionales. </w:t>
      </w:r>
      <w:r>
        <w:t>La inclusión requiere comunicación entre docentes, familias y especialistas que acompañan al estudiante. Pedir apoyo no significa que el profesor no pueda enseñar; significa reconocer que compartir conocimientos permite tomar mejores decisiones y sostener los avances del alumno.</w:t>
      </w:r>
    </w:p>
    <w:p>
      <w:pPr>
        <w:pStyle w:val="BodyTextCustom"/>
        <w:keepLines/>
      </w:pPr>
      <w:r>
        <w:rPr>
          <w:b/>
          <w:color w:val="1F4E5F"/>
        </w:rPr>
        <w:t xml:space="preserve">Promover la participación y el sentido de pertenencia. </w:t>
      </w:r>
      <w:r>
        <w:t>Corso cuenta cómo su hija Catalina fue recibida en un jardín de educación común y pudo compartir experiencias cotidianas con otros niños. Esto recuerda que incluir no es solamente que el estudiante esté presente físicamente: también debe tener oportunidades reales de relacionarse, participar en las actividades y ser reconocido como integrante del grupo.</w:t>
      </w:r>
    </w:p>
    <w:p>
      <w:pPr>
        <w:pStyle w:val="BodyTextCustom"/>
        <w:keepLines/>
      </w:pPr>
      <w:r>
        <w:rPr>
          <w:b/>
          <w:color w:val="1F4E5F"/>
        </w:rPr>
        <w:t xml:space="preserve">Construir una cultura inclusiva en toda la escuela. </w:t>
      </w:r>
      <w:r>
        <w:t>El mensaje de la charla es que no debería ser necesario distinguir entre escuelas “inclusivas” y escuelas que no lo son, porque todas tendrían que recibir y educar a cada estudiante. Para lograrlo, se necesita respeto, colaboración, eliminación de barreras y una actitud activa frente a las burlas o la exclusión.</w:t>
      </w:r>
    </w:p>
    <w:p>
      <w:pPr>
        <w:pStyle w:val="Heading2"/>
        <w:keepNext/>
      </w:pPr>
      <w:r>
        <w:t>¿Cómo llevaría estas ideas al aula?</w:t>
      </w:r>
    </w:p>
    <w:p>
      <w:pPr>
        <w:pStyle w:val="BodyTextCustom"/>
        <w:keepLines/>
      </w:pPr>
      <w:r>
        <w:t>En mi práctica, intentaría no interpretar de inmediato una dificultad como falta de interés o capacidad. Primero observaría qué está pasando y conversaría con el estudiante para saber qué le ayuda. Podría presentar una actividad de más de una forma, dividir una tarea extensa en pasos claros, ofrecer material visual o permitir que el aprendizaje se demuestre oralmente, por escrito o mediante una actividad práctica, según el objetivo. También mantendría comunicación con la familia y el equipo educativo para revisar qué funciona. Lo importante sería evaluar los avances y ajustar el apoyo, en lugar de rendirme o dejar al estudiante al margen.</w:t>
      </w:r>
    </w:p>
    <w:p>
      <w:pPr>
        <w:pStyle w:val="Heading1"/>
        <w:keepNext/>
      </w:pPr>
      <w:r>
        <w:t>Conclusión personal</w:t>
      </w:r>
    </w:p>
    <w:p>
      <w:pPr>
        <w:pStyle w:val="BodyTextCustom"/>
        <w:keepLines/>
      </w:pPr>
      <w:r>
        <w:t>Al escuchar la historia de Silvana, pensé en lo mucho que puede marcar a un estudiante que un adulto crea en sus posibilidades o, por el contrario, lo dé por perdido. La inclusión educativa no es un favor ni una responsabilidad exclusiva de los especialistas; es parte del derecho de todos a recibir una educación que respete su dignidad y sus posibilidades. Me quedo con una pregunta que considero importante para cualquier docente: antes de decir que un estudiante no puede, ¿le hemos ofrecido una oportunidad real para aprender? Un docente inclusivo no necesita tener todas las respuestas desde el primer día, pero sí disposición para escuchar, capacitarse, trabajar con otros y cambiar aquello que deja a alguien fuera. Cuando la escuela aprende a valorar las diferencias, no solo se beneficia el estudiante que necesita apoyo: aprende y crece todo el grupo.</w:t>
      </w:r>
    </w:p>
    <w:p>
      <w:pPr>
        <w:pStyle w:val="Heading1"/>
        <w:keepNext/>
      </w:pPr>
      <w:r>
        <w:t>Referencias</w:t>
      </w:r>
    </w:p>
    <w:p>
      <w:pPr>
        <w:pStyle w:val="BodyTextCustom"/>
        <w:spacing w:after="80"/>
        <w:ind w:left="283" w:hanging="283"/>
        <w:jc w:val="left"/>
      </w:pPr>
      <w:r>
        <w:t xml:space="preserve">GEM Report. (2020, 8 de julio; actualizado el 28 de enero de 2022). </w:t>
      </w:r>
      <w:r>
        <w:rPr>
          <w:i/>
        </w:rPr>
        <w:t xml:space="preserve">All teachers should be prepared to teach all students. </w:t>
      </w:r>
      <w:r>
        <w:t xml:space="preserve">World Education Blog. </w:t>
      </w:r>
      <w:hyperlink r:id="rId11">
        <w:r>
          <w:rPr>
            <w:color w:val="156082"/>
            <w:u w:val="single"/>
          </w:rPr>
          <w:t>https://world-education-blog.org/2020/07/08/all-teachers-should-be-prepared-to-teach-all-students/</w:t>
        </w:r>
      </w:hyperlink>
    </w:p>
    <w:p>
      <w:pPr>
        <w:pStyle w:val="BodyTextCustom"/>
        <w:spacing w:after="80"/>
        <w:ind w:left="283" w:hanging="283"/>
        <w:jc w:val="left"/>
      </w:pPr>
      <w:r>
        <w:t xml:space="preserve">UNESCO. (2020). </w:t>
      </w:r>
      <w:r>
        <w:rPr>
          <w:i/>
        </w:rPr>
        <w:t xml:space="preserve">Inclusión y educación: Todos y todas sin excepción. </w:t>
      </w:r>
      <w:r>
        <w:t xml:space="preserve">Informe de Seguimiento de la Educación en el Mundo. </w:t>
      </w:r>
      <w:hyperlink r:id="rId12">
        <w:r>
          <w:rPr>
            <w:color w:val="156082"/>
            <w:u w:val="single"/>
          </w:rPr>
          <w:t>https://gem-report-2020.unesco.org/es/inclusion-y-educacion/</w:t>
        </w:r>
      </w:hyperlink>
    </w:p>
    <w:p>
      <w:pPr>
        <w:pStyle w:val="BodyTextCustom"/>
        <w:spacing w:after="0"/>
        <w:ind w:left="283" w:hanging="283"/>
        <w:jc w:val="left"/>
      </w:pPr>
      <w:r>
        <w:t xml:space="preserve">Corso, S. (2017, 5 de septiembre). </w:t>
      </w:r>
      <w:r>
        <w:rPr>
          <w:i/>
        </w:rPr>
        <w:t xml:space="preserve">Para que las escuelas inclusivas dejen de ser necesarias </w:t>
      </w:r>
      <w:r>
        <w:t xml:space="preserve">[Video]. YouTube. </w:t>
      </w:r>
      <w:hyperlink r:id="rId13">
        <w:r>
          <w:rPr>
            <w:color w:val="156082"/>
            <w:u w:val="single"/>
          </w:rPr>
          <w:t>https://www.youtube.com/watch?v=H9U6J0C8z88</w:t>
        </w:r>
      </w:hyperlink>
    </w:p>
    <w:sectPr w:rsidR="00FC693F" w:rsidRPr="0006063C" w:rsidSect="00034616">
      <w:headerReference w:type="default" r:id="rId9"/>
      <w:footerReference w:type="default" r:id="rId10"/>
      <w:pgSz w:w="12240" w:h="15840"/>
      <w:pgMar w:top="1020" w:right="1276" w:bottom="964" w:left="1276"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color w:val="576570"/>
        <w:sz w:val="16"/>
      </w:rPr>
      <w:t xml:space="preserve">Momento de reflexionar  •  </w:t>
    </w:r>
    <w:r>
      <w:rPr>
        <w:color w:val="576570"/>
        <w:sz w:val="16"/>
      </w:rPr>
      <w:t xml:space="preserve">Página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5" w:space="3" w:color="B7D7D9"/>
      </w:pBdr>
    </w:pPr>
    <w:r>
      <w:rPr>
        <w:rFonts w:ascii="Aptos" w:hAnsi="Aptos"/>
        <w:color w:val="576570"/>
        <w:sz w:val="16"/>
      </w:rPr>
      <w:t>FORMACIÓN PROFESIONAL CON ENFOQUE EN DISCAPACIDAD E INCLUSIÓN  |  SECCIÓN 57137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B31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F667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374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ustom">
    <w:name w:val="Body Text Custom"/>
    <w:basedOn w:val="Normal"/>
    <w:pPr>
      <w:widowControl/>
      <w:spacing w:after="120" w:line="269" w:lineRule="auto"/>
      <w:jc w:val="both"/>
    </w:pPr>
    <w:rPr>
      <w:rFonts w:ascii="Aptos" w:hAnsi="Aptos"/>
      <w:color w:val="2B313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orld-education-blog.org/2020/07/08/all-teachers-should-be-prepared-to-teach-all-students/" TargetMode="External"/><Relationship Id="rId12" Type="http://schemas.openxmlformats.org/officeDocument/2006/relationships/hyperlink" Target="https://gem-report-2020.unesco.org/es/inclusion-y-educacion/" TargetMode="External"/><Relationship Id="rId13" Type="http://schemas.openxmlformats.org/officeDocument/2006/relationships/hyperlink" Target="https://www.youtube.com/watch?v=H9U6J0C8z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Momento de reflexionar: inclusión educativa y buenas prácticas docentes</dc:title>
  <dc:subject>Formación Profesional con Enfoque en Discapacidad e Inclusión - Sección 57137</dc:subject>
  <dc:creator/>
  <cp:keywords>inclusión educativa, buenas prácticas docentes, discapacidad</cp:keywords>
  <dc:description>generated by python-docx</dc:description>
  <cp:lastModifiedBy/>
  <cp:revision>1</cp:revision>
  <dcterms:created xsi:type="dcterms:W3CDTF">2013-12-23T23:15:00Z</dcterms:created>
  <dcterms:modified xsi:type="dcterms:W3CDTF">2013-12-23T23:15:00Z</dcterms:modified>
  <cp:category/>
</cp:coreProperties>
</file>