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7A1F1F"/>
          <w:sz w:val="44"/>
          <w:szCs w:val="44"/>
        </w:rPr>
        <w:t xml:space="preserve">DESCRIPCIÓN TÉCNICA</w:t>
      </w:r>
    </w:p>
    <w:p>
      <w:pPr>
        <w:spacing w:after="400"/>
        <w:jc w:val="center"/>
      </w:pPr>
      <w:r>
        <w:rPr>
          <w:b/>
          <w:bCs/>
          <w:color w:val="555555"/>
          <w:sz w:val="26"/>
          <w:szCs w:val="26"/>
        </w:rPr>
        <w:t xml:space="preserve">Módulo Tickets (PC) — Data Form Administrador / Oracle APEX</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000"/>
        <w:gridCol w:w="6900"/>
      </w:tblGrid>
      <w:tr>
        <w:tc>
          <w:tcPr>
            <w:tcW w:type="dxa" w:w="3000"/>
            <w:shd w:fill="7A1F1F" w:val="clear"/>
          </w:tcPr>
          <w:p>
            <w:r>
              <w:rPr>
                <w:b/>
                <w:bCs/>
                <w:color w:val="FFFFFF"/>
                <w:sz w:val="20"/>
                <w:szCs w:val="20"/>
              </w:rPr>
              <w:t xml:space="preserve">Aplicación</w:t>
            </w:r>
          </w:p>
        </w:tc>
        <w:tc>
          <w:tcPr>
            <w:tcW w:type="dxa" w:w="6900"/>
          </w:tcPr>
          <w:p>
            <w:r>
              <w:rPr>
                <w:sz w:val="20"/>
                <w:szCs w:val="20"/>
              </w:rPr>
              <w:t xml:space="preserve">Data Form Administrador (103) — Oracle APEX</w:t>
            </w:r>
          </w:p>
        </w:tc>
      </w:tr>
      <w:tr>
        <w:tc>
          <w:tcPr>
            <w:tcW w:type="dxa" w:w="3000"/>
            <w:shd w:fill="7A1F1F" w:val="clear"/>
          </w:tcPr>
          <w:p>
            <w:r>
              <w:rPr>
                <w:b/>
                <w:bCs/>
                <w:color w:val="FFFFFF"/>
                <w:sz w:val="20"/>
                <w:szCs w:val="20"/>
              </w:rPr>
              <w:t xml:space="preserve">Ubicación en menú</w:t>
            </w:r>
          </w:p>
        </w:tc>
        <w:tc>
          <w:tcPr>
            <w:tcW w:type="dxa" w:w="6900"/>
          </w:tcPr>
          <w:p>
            <w:r>
              <w:rPr>
                <w:sz w:val="20"/>
                <w:szCs w:val="20"/>
              </w:rPr>
              <w:t xml:space="preserve">Personalizadas → Tickets</w:t>
            </w:r>
          </w:p>
        </w:tc>
      </w:tr>
      <w:tr>
        <w:tc>
          <w:tcPr>
            <w:tcW w:type="dxa" w:w="3000"/>
            <w:shd w:fill="7A1F1F" w:val="clear"/>
          </w:tcPr>
          <w:p>
            <w:r>
              <w:rPr>
                <w:b/>
                <w:bCs/>
                <w:color w:val="FFFFFF"/>
                <w:sz w:val="20"/>
                <w:szCs w:val="20"/>
              </w:rPr>
              <w:t xml:space="preserve">Páginas incluidas</w:t>
            </w:r>
          </w:p>
        </w:tc>
        <w:tc>
          <w:tcPr>
            <w:tcW w:type="dxa" w:w="6900"/>
          </w:tcPr>
          <w:p>
            <w:r>
              <w:rPr>
                <w:sz w:val="20"/>
                <w:szCs w:val="20"/>
              </w:rPr>
              <w:t xml:space="preserve">18 - Report Ticket  /  53 - Infocenter</w:t>
            </w:r>
          </w:p>
        </w:tc>
      </w:tr>
      <w:tr>
        <w:tc>
          <w:tcPr>
            <w:tcW w:type="dxa" w:w="3000"/>
            <w:shd w:fill="7A1F1F" w:val="clear"/>
          </w:tcPr>
          <w:p>
            <w:r>
              <w:rPr>
                <w:b/>
                <w:bCs/>
                <w:color w:val="FFFFFF"/>
                <w:sz w:val="20"/>
                <w:szCs w:val="20"/>
              </w:rPr>
              <w:t xml:space="preserve">Propósito</w:t>
            </w:r>
          </w:p>
        </w:tc>
        <w:tc>
          <w:tcPr>
            <w:tcW w:type="dxa" w:w="6900"/>
          </w:tcPr>
          <w:p>
            <w:r>
              <w:rPr>
                <w:sz w:val="20"/>
                <w:szCs w:val="20"/>
              </w:rPr>
              <w:t xml:space="preserve">Consulta, seguimiento y control administrativo de los tickets PQRS creados desde la app móvil y desde el propio portal</w:t>
            </w:r>
          </w:p>
        </w:tc>
      </w:tr>
      <w:tr>
        <w:tc>
          <w:tcPr>
            <w:tcW w:type="dxa" w:w="3000"/>
            <w:shd w:fill="7A1F1F" w:val="clear"/>
          </w:tcPr>
          <w:p>
            <w:r>
              <w:rPr>
                <w:b/>
                <w:bCs/>
                <w:color w:val="FFFFFF"/>
                <w:sz w:val="20"/>
                <w:szCs w:val="20"/>
              </w:rPr>
              <w:t xml:space="preserve">Usuarios</w:t>
            </w:r>
          </w:p>
        </w:tc>
        <w:tc>
          <w:tcPr>
            <w:tcW w:type="dxa" w:w="6900"/>
          </w:tcPr>
          <w:p>
            <w:r>
              <w:rPr>
                <w:sz w:val="20"/>
                <w:szCs w:val="20"/>
              </w:rPr>
              <w:t xml:space="preserve">Personal administrativo / supervisión (equipo de oficina, vía navegador web)</w:t>
            </w:r>
          </w:p>
        </w:tc>
      </w:tr>
    </w:tbl>
    <w:p>
      <w:pPr>
        <w:spacing w:after="200"/>
      </w:pPr>
    </w:p>
    <w:p>
      <w:pPr>
        <w:pStyle w:val="Heading1"/>
        <w:spacing w:after="150" w:before="300"/>
      </w:pPr>
      <w:r>
        <w:t xml:space="preserve">1. Objetivo del módulo</w:t>
      </w:r>
    </w:p>
    <w:p>
      <w:pPr>
        <w:spacing w:after="120"/>
      </w:pPr>
      <w:r>
        <w:t xml:space="preserve">A diferencia del módulo de Tickets de la app móvil (Ionic), orientado a que el técnico o solicitante de campo cree y gestione sus propios tickets, el módulo "Tickets" del portal APEX está orientado a la consulta, el reporte y el seguimiento administrativo: permite a supervisores y coordinadores ver el listado completo de tickets con todos sus atributos, filtrar, exportar y monitorear el estado del proceso desde un computador de escritorio.</w:t>
      </w:r>
    </w:p>
    <w:p>
      <w:pPr>
        <w:pStyle w:val="Heading1"/>
        <w:spacing w:after="150" w:before="300"/>
      </w:pPr>
      <w:r>
        <w:t xml:space="preserve">2. Página 18 — Report Ticket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000"/>
        <w:gridCol w:w="6900"/>
      </w:tblGrid>
      <w:tr>
        <w:tc>
          <w:tcPr>
            <w:tcW w:type="dxa" w:w="3000"/>
            <w:shd w:fill="7A1F1F" w:val="clear"/>
          </w:tcPr>
          <w:p>
            <w:r>
              <w:rPr>
                <w:b/>
                <w:bCs/>
                <w:color w:val="FFFFFF"/>
                <w:sz w:val="20"/>
                <w:szCs w:val="20"/>
              </w:rPr>
              <w:t xml:space="preserve">Alias</w:t>
            </w:r>
          </w:p>
        </w:tc>
        <w:tc>
          <w:tcPr>
            <w:tcW w:type="dxa" w:w="6900"/>
          </w:tcPr>
          <w:p>
            <w:r>
              <w:rPr>
                <w:sz w:val="20"/>
                <w:szCs w:val="20"/>
              </w:rPr>
              <w:t xml:space="preserve">REPORT-TICKET</w:t>
            </w:r>
          </w:p>
        </w:tc>
      </w:tr>
      <w:tr>
        <w:tc>
          <w:tcPr>
            <w:tcW w:type="dxa" w:w="3000"/>
            <w:shd w:fill="7A1F1F" w:val="clear"/>
          </w:tcPr>
          <w:p>
            <w:r>
              <w:rPr>
                <w:b/>
                <w:bCs/>
                <w:color w:val="FFFFFF"/>
                <w:sz w:val="20"/>
                <w:szCs w:val="20"/>
              </w:rPr>
              <w:t xml:space="preserve">Modo de página</w:t>
            </w:r>
          </w:p>
        </w:tc>
        <w:tc>
          <w:tcPr>
            <w:tcW w:type="dxa" w:w="6900"/>
          </w:tcPr>
          <w:p>
            <w:r>
              <w:rPr>
                <w:sz w:val="20"/>
                <w:szCs w:val="20"/>
              </w:rPr>
              <w:t xml:space="preserve">Normal</w:t>
            </w:r>
          </w:p>
        </w:tc>
      </w:tr>
      <w:tr>
        <w:tc>
          <w:tcPr>
            <w:tcW w:type="dxa" w:w="3000"/>
            <w:shd w:fill="7A1F1F" w:val="clear"/>
          </w:tcPr>
          <w:p>
            <w:r>
              <w:rPr>
                <w:b/>
                <w:bCs/>
                <w:color w:val="FFFFFF"/>
                <w:sz w:val="20"/>
                <w:szCs w:val="20"/>
              </w:rPr>
              <w:t xml:space="preserve">Tipo de región principal</w:t>
            </w:r>
          </w:p>
        </w:tc>
        <w:tc>
          <w:tcPr>
            <w:tcW w:type="dxa" w:w="6900"/>
          </w:tcPr>
          <w:p>
            <w:r>
              <w:rPr>
                <w:sz w:val="20"/>
                <w:szCs w:val="20"/>
              </w:rPr>
              <w:t xml:space="preserve">Interactive Report (IR) sobre consulta SQL</w:t>
            </w:r>
          </w:p>
        </w:tc>
      </w:tr>
    </w:tbl>
    <w:p>
      <w:pPr>
        <w:spacing w:after="120"/>
      </w:pPr>
    </w:p>
    <w:p>
      <w:pPr>
        <w:spacing w:after="120"/>
      </w:pPr>
      <w:r>
        <w:t xml:space="preserve">Reporte interactivo tabular de todos los tickets registrados en el sistema, pensado para análisis, filtrado, ordenamiento y exportación (funciones nativas de los Interactive Reports de APEX: búsqueda, filtros por columna, agrupación, control de breaks, descarga a CSV/Excel).</w:t>
      </w:r>
    </w:p>
    <w:p>
      <w:pPr>
        <w:spacing w:after="120"/>
      </w:pPr>
      <w:r>
        <w:rPr>
          <w:b/>
          <w:bCs/>
        </w:rPr>
        <w:t xml:space="preserve">Columnas expuestas en el reporte:</w:t>
      </w:r>
    </w:p>
    <w:p>
      <w:pPr>
        <w:pStyle w:val="ListParagraph"/>
        <w:numPr>
          <w:ilvl w:val="0"/>
          <w:numId w:val="1"/>
        </w:numPr>
        <w:spacing w:after="60"/>
      </w:pPr>
      <w:r>
        <w:t xml:space="preserve">Identificación: DATA_TICKETS_ID, REPORT_TICKET_ID_TABLE, NUM_REPORT_TICKET, ORDEN_TRABAJO</w:t>
      </w:r>
    </w:p>
    <w:p>
      <w:pPr>
        <w:pStyle w:val="ListParagraph"/>
        <w:numPr>
          <w:ilvl w:val="0"/>
          <w:numId w:val="1"/>
        </w:numPr>
        <w:spacing w:after="60"/>
      </w:pPr>
      <w:r>
        <w:t xml:space="preserve">Datos de la solicitud: SOLICITANTE, AREA_SOLICITANTE, DESC_TICKET, TIPO, PRIORIDAD</w:t>
      </w:r>
    </w:p>
    <w:p>
      <w:pPr>
        <w:pStyle w:val="ListParagraph"/>
        <w:numPr>
          <w:ilvl w:val="0"/>
          <w:numId w:val="1"/>
        </w:numPr>
        <w:spacing w:after="60"/>
      </w:pPr>
      <w:r>
        <w:t xml:space="preserve">Ubicación y equipo: ORGANIZACION_UBICACION, NOMBRE_UBICACION, CODIGO_EQUIPO, NOMBRE_EQUIPO</w:t>
      </w:r>
    </w:p>
    <w:p>
      <w:pPr>
        <w:pStyle w:val="ListParagraph"/>
        <w:numPr>
          <w:ilvl w:val="0"/>
          <w:numId w:val="1"/>
        </w:numPr>
        <w:spacing w:after="60"/>
      </w:pPr>
      <w:r>
        <w:t xml:space="preserve">Flujo de aprobación: AREA_SERVICIO, APROBADOR, ESTADO, FECHA_APROBACION_TICKET, MOTIVO_RECHAZO</w:t>
      </w:r>
    </w:p>
    <w:p>
      <w:pPr>
        <w:pStyle w:val="ListParagraph"/>
        <w:numPr>
          <w:ilvl w:val="0"/>
          <w:numId w:val="1"/>
        </w:numPr>
        <w:spacing w:after="60"/>
      </w:pPr>
      <w:r>
        <w:t xml:space="preserve">Cierre y calificación: FECHA_CIERRE_TICKET, CALIFICACION, COMENTARIO</w:t>
      </w:r>
    </w:p>
    <w:p>
      <w:pPr>
        <w:pStyle w:val="ListParagraph"/>
        <w:numPr>
          <w:ilvl w:val="0"/>
          <w:numId w:val="1"/>
        </w:numPr>
        <w:spacing w:after="60"/>
      </w:pPr>
      <w:r>
        <w:t xml:space="preserve">Auditoría: CREATED, CREATED_BY, UPDATED, UPDATED_BY</w:t>
      </w:r>
    </w:p>
    <w:p>
      <w:pPr>
        <w:pStyle w:val="Heading1"/>
        <w:spacing w:after="150" w:before="300"/>
      </w:pPr>
      <w:r>
        <w:t xml:space="preserve">3. Página 53 — Infocenter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000"/>
        <w:gridCol w:w="6900"/>
      </w:tblGrid>
      <w:tr>
        <w:tc>
          <w:tcPr>
            <w:tcW w:type="dxa" w:w="3000"/>
            <w:shd w:fill="7A1F1F" w:val="clear"/>
          </w:tcPr>
          <w:p>
            <w:r>
              <w:rPr>
                <w:b/>
                <w:bCs/>
                <w:color w:val="FFFFFF"/>
                <w:sz w:val="20"/>
                <w:szCs w:val="20"/>
              </w:rPr>
              <w:t xml:space="preserve">Alias</w:t>
            </w:r>
          </w:p>
        </w:tc>
        <w:tc>
          <w:tcPr>
            <w:tcW w:type="dxa" w:w="6900"/>
          </w:tcPr>
          <w:p>
            <w:r>
              <w:rPr>
                <w:sz w:val="20"/>
                <w:szCs w:val="20"/>
              </w:rPr>
              <w:t xml:space="preserve">GRID-TICKETS</w:t>
            </w:r>
          </w:p>
        </w:tc>
      </w:tr>
      <w:tr>
        <w:tc>
          <w:tcPr>
            <w:tcW w:type="dxa" w:w="3000"/>
            <w:shd w:fill="7A1F1F" w:val="clear"/>
          </w:tcPr>
          <w:p>
            <w:r>
              <w:rPr>
                <w:b/>
                <w:bCs/>
                <w:color w:val="FFFFFF"/>
                <w:sz w:val="20"/>
                <w:szCs w:val="20"/>
              </w:rPr>
              <w:t xml:space="preserve">Modo de página</w:t>
            </w:r>
          </w:p>
        </w:tc>
        <w:tc>
          <w:tcPr>
            <w:tcW w:type="dxa" w:w="6900"/>
          </w:tcPr>
          <w:p>
            <w:r>
              <w:rPr>
                <w:sz w:val="20"/>
                <w:szCs w:val="20"/>
              </w:rPr>
              <w:t xml:space="preserve">Normal</w:t>
            </w:r>
          </w:p>
        </w:tc>
      </w:tr>
      <w:tr>
        <w:tc>
          <w:tcPr>
            <w:tcW w:type="dxa" w:w="3000"/>
            <w:shd w:fill="7A1F1F" w:val="clear"/>
          </w:tcPr>
          <w:p>
            <w:r>
              <w:rPr>
                <w:b/>
                <w:bCs/>
                <w:color w:val="FFFFFF"/>
                <w:sz w:val="20"/>
                <w:szCs w:val="20"/>
              </w:rPr>
              <w:t xml:space="preserve">Regiones</w:t>
            </w:r>
          </w:p>
        </w:tc>
        <w:tc>
          <w:tcPr>
            <w:tcW w:type="dxa" w:w="6900"/>
          </w:tcPr>
          <w:p>
            <w:r>
              <w:rPr>
                <w:sz w:val="20"/>
                <w:szCs w:val="20"/>
              </w:rPr>
              <w:t xml:space="preserve">Breadcrumb + Interactive Report (Infocenter) sobre consulta SQL</w:t>
            </w:r>
          </w:p>
        </w:tc>
      </w:tr>
    </w:tbl>
    <w:p>
      <w:pPr>
        <w:spacing w:after="120"/>
      </w:pPr>
    </w:p>
    <w:p>
      <w:pPr>
        <w:spacing w:after="120"/>
      </w:pPr>
      <w:r>
        <w:t xml:space="preserve">Vista tipo "Infocenter" (formato de tarjetas/grid propio de APEX, alternativo al reporte tabular clásico) orientada al monitoreo operativo del estado de los tickets, con una presentación más visual que la del Report Ticket. Incluye acciones dinámicas propias:</w:t>
      </w:r>
    </w:p>
    <w:p>
      <w:pPr>
        <w:pStyle w:val="ListParagraph"/>
        <w:numPr>
          <w:ilvl w:val="0"/>
          <w:numId w:val="1"/>
        </w:numPr>
        <w:spacing w:after="60"/>
      </w:pPr>
      <w:r>
        <w:t xml:space="preserve">Dynamic Action "MOSTRAR_ALERTA_TICKETS": despliega alertas/avisos visuales sobre el estado de los tickets en pantalla.</w:t>
      </w:r>
    </w:p>
    <w:p>
      <w:pPr>
        <w:pStyle w:val="ListParagraph"/>
        <w:numPr>
          <w:ilvl w:val="0"/>
          <w:numId w:val="1"/>
        </w:numPr>
        <w:spacing w:after="60"/>
      </w:pPr>
      <w:r>
        <w:t xml:space="preserve">Dynamic Action "Refresh Grid": refresca la cuadrícula de tickets sin recargar la página completa (actualización dinámica vía AJAX).</w:t>
      </w:r>
    </w:p>
    <w:p>
      <w:pPr>
        <w:spacing w:after="120"/>
      </w:pPr>
      <w:r>
        <w:rPr>
          <w:b/>
          <w:bCs/>
        </w:rPr>
        <w:t xml:space="preserve">Columnas expuestas en el Infocenter:</w:t>
      </w:r>
    </w:p>
    <w:p>
      <w:pPr>
        <w:pStyle w:val="ListParagraph"/>
        <w:numPr>
          <w:ilvl w:val="0"/>
          <w:numId w:val="1"/>
        </w:numPr>
        <w:spacing w:after="60"/>
      </w:pPr>
      <w:r>
        <w:t xml:space="preserve">Tipo, Ticket_Referencia, Original_Ticket, notification</w:t>
      </w:r>
    </w:p>
    <w:p>
      <w:pPr>
        <w:pStyle w:val="ListParagraph"/>
        <w:numPr>
          <w:ilvl w:val="0"/>
          <w:numId w:val="1"/>
        </w:numPr>
        <w:spacing w:after="60"/>
      </w:pPr>
      <w:r>
        <w:t xml:space="preserve">Recibe_Conformidad, Comentario_Conformidad</w:t>
      </w:r>
    </w:p>
    <w:p>
      <w:pPr>
        <w:pStyle w:val="ListParagraph"/>
        <w:numPr>
          <w:ilvl w:val="0"/>
          <w:numId w:val="1"/>
        </w:numPr>
        <w:spacing w:after="60"/>
      </w:pPr>
      <w:r>
        <w:t xml:space="preserve">Fecha_requerida, Fecha_creada, date_closing_ot, date_closing</w:t>
      </w:r>
    </w:p>
    <w:p>
      <w:pPr>
        <w:pStyle w:val="ListParagraph"/>
        <w:numPr>
          <w:ilvl w:val="0"/>
          <w:numId w:val="1"/>
        </w:numPr>
        <w:spacing w:after="60"/>
      </w:pPr>
      <w:r>
        <w:t xml:space="preserve">Solicitante, Area, Equipo, Ubicacion</w:t>
      </w:r>
    </w:p>
    <w:p>
      <w:pPr>
        <w:pStyle w:val="ListParagraph"/>
        <w:numPr>
          <w:ilvl w:val="0"/>
          <w:numId w:val="1"/>
        </w:numPr>
        <w:spacing w:after="60"/>
      </w:pPr>
      <w:r>
        <w:t xml:space="preserve">Descripcion, Comentario, Estado, # de Orden, DATA_TICKETS_ID</w:t>
      </w:r>
    </w:p>
    <w:p>
      <w:pPr>
        <w:pStyle w:val="Heading1"/>
        <w:spacing w:after="150" w:before="300"/>
      </w:pPr>
      <w:r>
        <w:t xml:space="preserve">4. Relación con el resto del sistema</w:t>
      </w:r>
    </w:p>
    <w:p>
      <w:pPr>
        <w:spacing w:after="120"/>
      </w:pPr>
      <w:r>
        <w:t xml:space="preserve">Ambas páginas consultan la misma estructura de datos de tickets (DATA_TICKETS y tablas relacionadas) que alimenta:</w:t>
      </w:r>
    </w:p>
    <w:p>
      <w:pPr>
        <w:pStyle w:val="ListParagraph"/>
        <w:numPr>
          <w:ilvl w:val="0"/>
          <w:numId w:val="1"/>
        </w:numPr>
        <w:spacing w:after="60"/>
      </w:pPr>
      <w:r>
        <w:t xml:space="preserve">La aplicación móvil Ionic, donde los técnicos crean y gestionan tickets en campo (online/offline).</w:t>
      </w:r>
    </w:p>
    <w:p>
      <w:pPr>
        <w:pStyle w:val="ListParagraph"/>
        <w:numPr>
          <w:ilvl w:val="0"/>
          <w:numId w:val="1"/>
        </w:numPr>
        <w:spacing w:after="60"/>
      </w:pPr>
      <w:r>
        <w:t xml:space="preserve">El módulo de edición de tickets del propio APEX (páginas 54-61: Editar Tickets, Crear Ticket, Ticket Status, Carga Archivos, Calificación, Razón Cancelación, Motivo Cierre), documentado por separado.</w:t>
      </w:r>
    </w:p>
    <w:p>
      <w:pPr>
        <w:spacing w:after="120"/>
      </w:pPr>
      <w:r>
        <w:t xml:space="preserve">En conjunto, el módulo "Tickets (PC)" cierra el ciclo de trazabilidad: mientras la app móvil captura la información en campo y las páginas 54-61 permiten editar el detalle de un ticket puntual, Report Ticket e Infocenter dan al equipo administrativo la vista consolidada, de reporte y monitoreo, sobre el total de tickets del sistema.</w:t>
      </w:r>
    </w:p>
    <w:p>
      <w:pPr>
        <w:spacing w:after="200"/>
      </w:pPr>
    </w:p>
    <w:p>
      <w:r>
        <w:rPr>
          <w:i/>
          <w:iCs/>
          <w:color w:val="777777"/>
          <w:sz w:val="18"/>
          <w:szCs w:val="18"/>
        </w:rPr>
        <w:t xml:space="preserve">Documento generado a partir del export oficial de Oracle APEX (páginas 18 y 53), aplicación 103.</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2026-08-05T19:54:04.329Z</dcterms:created>
  <dcterms:modified xsi:type="dcterms:W3CDTF">2026-08-05T19:54:04.347Z</dcterms:modified>
</cp:coreProperties>
</file>

<file path=docProps/custom.xml><?xml version="1.0" encoding="utf-8"?>
<Properties xmlns="http://schemas.openxmlformats.org/officeDocument/2006/custom-properties" xmlns:vt="http://schemas.openxmlformats.org/officeDocument/2006/docPropsVTypes"/>
</file>