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2000312E" w:rsidR="00DE65A5" w:rsidRPr="001279F2" w:rsidRDefault="00250EBA" w:rsidP="00986EA2">
      <w:pPr>
        <w:pStyle w:val="ACLTitle"/>
        <w:rPr>
          <w:vanish/>
          <w:lang w:eastAsia="tr-TR"/>
          <w:specVanish/>
        </w:rPr>
      </w:pPr>
      <w:r>
        <w:rPr>
          <w:lang w:eastAsia="tr-TR"/>
        </w:rPr>
        <w:t>Team ‘How Does That Make You Feel?’: SemEval2016 Task 4 Proposal</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Kyle Arens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77777777" w:rsidR="00DE65A5" w:rsidRPr="00250EBA" w:rsidRDefault="00DE65A5" w:rsidP="009B7A2C">
            <w:pPr>
              <w:pStyle w:val="ACLAuthor"/>
              <w:rPr>
                <w:szCs w:val="24"/>
              </w:rPr>
            </w:pPr>
            <w:r w:rsidRPr="00250EBA">
              <w:rPr>
                <w:szCs w:val="24"/>
              </w:rPr>
              <w:t>Anonymous 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7A367DC8" w:rsidR="006C33F7" w:rsidRPr="00250EBA" w:rsidRDefault="00250EBA" w:rsidP="00967C40">
      <w:pPr>
        <w:pStyle w:val="ACLAbstractText"/>
      </w:pPr>
      <w:r>
        <w:t>This document is a proposal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(Preslav Nekov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 xml:space="preserve">cts </w:t>
      </w:r>
      <w:r w:rsidR="00520012">
        <w:t xml:space="preserve">(Preslav Nekov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 xml:space="preserve">Subtask B is similar to Subtask A, but takes a given tweet and a topic, classifies a tweet on </w:t>
      </w:r>
      <w:r w:rsidR="005B22CC">
        <w:lastRenderedPageBreak/>
        <w:t>a binary scale, positive or negative, in regard to the given topic.</w:t>
      </w:r>
    </w:p>
    <w:p w14:paraId="27AB57F2" w14:textId="77777777" w:rsidR="005B22CC" w:rsidRDefault="005B22CC" w:rsidP="00420989">
      <w:pPr>
        <w:pStyle w:val="ACLTextFirstlineindent016"/>
      </w:pPr>
      <w:r>
        <w:rPr>
          <w:b/>
        </w:rPr>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(Preslav Nekov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7A3003CB" w14:textId="5101FD56" w:rsidR="009B564C" w:rsidRDefault="009B564C" w:rsidP="000725D1">
      <w:pPr>
        <w:pStyle w:val="ACLText"/>
      </w:pPr>
      <w:r>
        <w:t>Our general approach to solving the problems of Subtasks A through E consists of Preprocessing, Annotating/Feature Abstraction, a processing through Neural Nets.</w:t>
      </w:r>
    </w:p>
    <w:p w14:paraId="6D723256" w14:textId="194956E4" w:rsidR="009B564C" w:rsidRDefault="009B564C" w:rsidP="009B564C">
      <w:pPr>
        <w:pStyle w:val="ACLTextFirstlineindent016"/>
        <w:ind w:firstLine="0"/>
        <w:rPr>
          <w:b/>
        </w:rPr>
      </w:pPr>
    </w:p>
    <w:p w14:paraId="12173B4B" w14:textId="77777777" w:rsidR="009B564C" w:rsidRDefault="009B564C" w:rsidP="009B564C">
      <w:pPr>
        <w:pStyle w:val="ACLTextFirstlineindent016"/>
        <w:ind w:firstLine="0"/>
        <w:rPr>
          <w:b/>
        </w:rPr>
      </w:pPr>
    </w:p>
    <w:p w14:paraId="2D97333C" w14:textId="731D2916" w:rsidR="009B564C" w:rsidRDefault="009B564C" w:rsidP="009B564C">
      <w:pPr>
        <w:pStyle w:val="Heading2"/>
      </w:pPr>
      <w:r>
        <w:lastRenderedPageBreak/>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r>
        <w:t>httptco</w:t>
      </w:r>
      <w:r w:rsidR="00520012">
        <w:t>”.</w:t>
      </w:r>
    </w:p>
    <w:p w14:paraId="597486E2" w14:textId="2D419D7E" w:rsidR="00BE00FE" w:rsidRPr="00271D4E" w:rsidRDefault="003B7067" w:rsidP="003B7067">
      <w:pPr>
        <w:pStyle w:val="ACLTextFirstlineindent016"/>
        <w:ind w:firstLine="360"/>
        <w:rPr>
          <w:b/>
        </w:rPr>
      </w:pPr>
      <w:r>
        <w:t>O</w:t>
      </w:r>
      <w:r w:rsidR="00BE00FE">
        <w:t xml:space="preserve">ur preprocessing </w:t>
      </w:r>
      <w:r w:rsidR="00520012">
        <w:t>is vastly minimal</w:t>
      </w:r>
      <w:r w:rsidR="00BE00FE">
        <w:t xml:space="preserve"> compared to other groups (who included various techniques such as correcting potential typos,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(Balikas and Amini, 2016; </w:t>
      </w:r>
      <w:r w:rsidR="004D7B30">
        <w:t>R</w:t>
      </w:r>
      <w:r w:rsidR="004D7B30" w:rsidRPr="003230D4">
        <w:t>ä</w:t>
      </w:r>
      <w:r w:rsidR="004D7B30">
        <w:t>biger</w:t>
      </w:r>
      <w:r w:rsidR="004D7B30">
        <w:t xml:space="preserve"> et al.,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66677A3E" w14:textId="2A097AF4" w:rsidR="00BE00FE" w:rsidRDefault="00BE00FE" w:rsidP="0086469A">
      <w:pPr>
        <w:pStyle w:val="ACLTextFirstlineindent016"/>
        <w:ind w:firstLine="360"/>
      </w:pPr>
      <w:r>
        <w:t>After preprocessing we passed our tweets to our tokenization and feature abstraction layer. We assigned the following features to each token in a tweet.</w:t>
      </w:r>
    </w:p>
    <w:p w14:paraId="0C85CB1F" w14:textId="236E9A6F" w:rsidR="00BE00FE" w:rsidRDefault="00BE00FE" w:rsidP="00BE00FE">
      <w:pPr>
        <w:pStyle w:val="ACLTextFirstlineindent016"/>
        <w:numPr>
          <w:ilvl w:val="0"/>
          <w:numId w:val="29"/>
        </w:numPr>
      </w:pPr>
      <w:r>
        <w:t>The count of each punctuations from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18E60B91" w14:textId="489B1197" w:rsidR="00BE00FE" w:rsidRDefault="00BE00FE" w:rsidP="00BE00FE">
      <w:pPr>
        <w:pStyle w:val="ACLTextFirstlineindent016"/>
        <w:numPr>
          <w:ilvl w:val="0"/>
          <w:numId w:val="29"/>
        </w:numPr>
      </w:pPr>
      <w:r>
        <w:t>Whether or not the token is a hashtag.</w:t>
      </w:r>
    </w:p>
    <w:p w14:paraId="203FBF50" w14:textId="67D30511" w:rsidR="00BE00FE" w:rsidRPr="00BE00FE" w:rsidRDefault="00BE00FE" w:rsidP="00BE00FE">
      <w:pPr>
        <w:pStyle w:val="ACLTextFirstlineindent016"/>
        <w:numPr>
          <w:ilvl w:val="0"/>
          <w:numId w:val="29"/>
        </w:numPr>
      </w:pPr>
      <w:r>
        <w:t>The part of speech of the token.</w:t>
      </w:r>
    </w:p>
    <w:p w14:paraId="40BE36BD" w14:textId="77777777" w:rsidR="009B564C" w:rsidRDefault="009B564C" w:rsidP="009B564C">
      <w:pPr>
        <w:pStyle w:val="ACLTextFirstlineindent016"/>
        <w:ind w:firstLine="0"/>
      </w:pPr>
    </w:p>
    <w:p w14:paraId="4BF87B00" w14:textId="0283DB92" w:rsidR="0086469A" w:rsidRDefault="00BE00FE" w:rsidP="0086469A">
      <w:pPr>
        <w:pStyle w:val="ACLTextFirstlineindent016"/>
        <w:ind w:firstLine="0"/>
      </w:pPr>
      <w:r>
        <w:t>From this, we then took our tweets and passed them into a Neural Network to break down tweets that contain conjunctions, believing that depending on the conjunctions, either the LHS or RHS might hold more weight toward predicting the positivity/negativity of a tweet’s sentiment.</w:t>
      </w:r>
      <w:bookmarkStart w:id="0" w:name="_GoBack"/>
      <w:bookmarkEnd w:id="0"/>
    </w:p>
    <w:p w14:paraId="32BD0CAD" w14:textId="5D075B61" w:rsidR="0086469A" w:rsidRDefault="0086469A" w:rsidP="003B7067">
      <w:pPr>
        <w:pStyle w:val="ACLTextFirstlineindent016"/>
        <w:ind w:firstLine="708"/>
      </w:pPr>
      <w:r>
        <w:t xml:space="preserve">We then took all tweets lacking conjunctions and the tweet halves created from the above “splitting” on conjunctions and passed them into a second neural net, where we </w:t>
      </w:r>
      <w:r>
        <w:rPr>
          <w:b/>
        </w:rPr>
        <w:t>some fancy terms on training</w:t>
      </w:r>
      <w:r>
        <w:t xml:space="preserve">. We believe our approach on specifically splitting tweets up over conjunctions is a relatively unique to how teams approach this problem. We are aware that is has been used in some tools, such as VADER but haven’t seen much explicitly done over training on tweets with contractions </w:t>
      </w:r>
      <w:r w:rsidR="003B7067">
        <w:t>(Hutto and Gilbert, 2015).</w:t>
      </w:r>
    </w:p>
    <w:p w14:paraId="4DD2E730" w14:textId="60737F23" w:rsidR="00BE00FE" w:rsidRDefault="0086469A" w:rsidP="009B564C">
      <w:pPr>
        <w:pStyle w:val="ACLTextFirstlineindent016"/>
        <w:ind w:firstLine="0"/>
      </w:pPr>
      <w:r>
        <w:tab/>
        <w:t xml:space="preserve">After training our model, we used the DevTest data to see how well our features could predict </w:t>
      </w:r>
      <w:r>
        <w:lastRenderedPageBreak/>
        <w:t>sentiments and estimate the distribution of positive and negative tweets.</w:t>
      </w:r>
    </w:p>
    <w:p w14:paraId="4AAA4699" w14:textId="4E2F3798" w:rsidR="0086469A" w:rsidRDefault="0086469A" w:rsidP="0086469A">
      <w:pPr>
        <w:pStyle w:val="Heading1"/>
      </w:pPr>
      <w:r>
        <w:t>Preliminary Results</w:t>
      </w:r>
    </w:p>
    <w:p w14:paraId="04749C70" w14:textId="25FC7078" w:rsidR="0086469A" w:rsidRDefault="0086469A" w:rsidP="0086469A">
      <w:pPr>
        <w:rPr>
          <w:b/>
        </w:rPr>
      </w:pPr>
      <w:r>
        <w:rPr>
          <w:b/>
        </w:rPr>
        <w:t>INSERT SOME SHENANIGANS AND GRAPHS WE HAVEN’T DONE YET</w:t>
      </w:r>
    </w:p>
    <w:p w14:paraId="57613342" w14:textId="77777777" w:rsidR="0086469A" w:rsidRDefault="0086469A" w:rsidP="0086469A">
      <w:pPr>
        <w:rPr>
          <w:b/>
        </w:rPr>
      </w:pPr>
    </w:p>
    <w:p w14:paraId="46F862B6" w14:textId="73E80E48" w:rsidR="0086469A" w:rsidRDefault="0086469A" w:rsidP="0086469A">
      <w:pPr>
        <w:pStyle w:val="Heading1"/>
      </w:pPr>
      <w:r>
        <w:t>Timeline</w:t>
      </w:r>
    </w:p>
    <w:tbl>
      <w:tblPr>
        <w:tblStyle w:val="TableGrid"/>
        <w:tblW w:w="0" w:type="auto"/>
        <w:tblLook w:val="04A0" w:firstRow="1" w:lastRow="0" w:firstColumn="1" w:lastColumn="0" w:noHBand="0" w:noVBand="1"/>
      </w:tblPr>
      <w:tblGrid>
        <w:gridCol w:w="1163"/>
        <w:gridCol w:w="3363"/>
      </w:tblGrid>
      <w:tr w:rsidR="0053465A" w14:paraId="0701A933" w14:textId="77777777" w:rsidTr="0053465A">
        <w:tc>
          <w:tcPr>
            <w:tcW w:w="1163" w:type="dxa"/>
          </w:tcPr>
          <w:p w14:paraId="07168BEC" w14:textId="6E264D96" w:rsidR="0053465A" w:rsidRPr="0053465A" w:rsidRDefault="0053465A" w:rsidP="000C34F6">
            <w:pPr>
              <w:rPr>
                <w:b/>
              </w:rPr>
            </w:pPr>
            <w:r w:rsidRPr="0053465A">
              <w:rPr>
                <w:b/>
              </w:rPr>
              <w:t>Week of…</w:t>
            </w:r>
          </w:p>
        </w:tc>
        <w:tc>
          <w:tcPr>
            <w:tcW w:w="3363" w:type="dxa"/>
          </w:tcPr>
          <w:p w14:paraId="070286FF" w14:textId="4E7B61DC" w:rsidR="0053465A" w:rsidRPr="0053465A" w:rsidRDefault="0053465A" w:rsidP="000C34F6">
            <w:pPr>
              <w:rPr>
                <w:b/>
              </w:rPr>
            </w:pPr>
            <w:r w:rsidRPr="0053465A">
              <w:rPr>
                <w:b/>
              </w:rPr>
              <w:t>Task</w:t>
            </w:r>
          </w:p>
        </w:tc>
      </w:tr>
      <w:tr w:rsidR="0053465A" w14:paraId="63EA4A65" w14:textId="77777777" w:rsidTr="0053465A">
        <w:tc>
          <w:tcPr>
            <w:tcW w:w="1163" w:type="dxa"/>
          </w:tcPr>
          <w:p w14:paraId="65C4C4B8" w14:textId="0AC4D619" w:rsidR="0053465A" w:rsidRDefault="00502645" w:rsidP="00502645">
            <w:r>
              <w:t>10/22</w:t>
            </w:r>
          </w:p>
        </w:tc>
        <w:tc>
          <w:tcPr>
            <w:tcW w:w="3363" w:type="dxa"/>
          </w:tcPr>
          <w:p w14:paraId="48BBB3B7" w14:textId="2FF195CB" w:rsidR="0053465A" w:rsidRDefault="005549CD" w:rsidP="005549CD">
            <w:r>
              <w:t>Implement conjunction separation and evaluation</w:t>
            </w:r>
          </w:p>
        </w:tc>
      </w:tr>
      <w:tr w:rsidR="0053465A" w14:paraId="681E964B" w14:textId="77777777" w:rsidTr="0053465A">
        <w:tc>
          <w:tcPr>
            <w:tcW w:w="1163" w:type="dxa"/>
          </w:tcPr>
          <w:p w14:paraId="2E34F982" w14:textId="3C562252" w:rsidR="0053465A" w:rsidRDefault="00502645" w:rsidP="000C34F6">
            <w:r>
              <w:t>10/29</w:t>
            </w:r>
          </w:p>
        </w:tc>
        <w:tc>
          <w:tcPr>
            <w:tcW w:w="3363" w:type="dxa"/>
          </w:tcPr>
          <w:p w14:paraId="4154AA85" w14:textId="3FC926B1" w:rsidR="0053465A" w:rsidRDefault="005549CD" w:rsidP="00603265">
            <w:r>
              <w:t>Incorporate</w:t>
            </w:r>
            <w:r w:rsidR="00603265">
              <w:t xml:space="preserve"> a</w:t>
            </w:r>
            <w:r>
              <w:t xml:space="preserve"> word-level sentiment tagger</w:t>
            </w:r>
            <w:r w:rsidR="00603265">
              <w:t xml:space="preserve"> as a feature.</w:t>
            </w:r>
          </w:p>
        </w:tc>
      </w:tr>
      <w:tr w:rsidR="00603265" w14:paraId="35961BDD" w14:textId="77777777" w:rsidTr="0053465A">
        <w:tc>
          <w:tcPr>
            <w:tcW w:w="1163" w:type="dxa"/>
          </w:tcPr>
          <w:p w14:paraId="0CE3AA53" w14:textId="736BDEA9" w:rsidR="00603265" w:rsidRDefault="00603265" w:rsidP="000C34F6">
            <w:r>
              <w:t>10/29</w:t>
            </w:r>
          </w:p>
        </w:tc>
        <w:tc>
          <w:tcPr>
            <w:tcW w:w="3363" w:type="dxa"/>
          </w:tcPr>
          <w:p w14:paraId="1509D752" w14:textId="029D04B1" w:rsidR="00603265" w:rsidRDefault="004A17EC" w:rsidP="00603265">
            <w:r>
              <w:t>Strip the “@” from mentions in tweets, to increase spellchecker accuracy</w:t>
            </w:r>
          </w:p>
        </w:tc>
      </w:tr>
      <w:tr w:rsidR="004A17EC" w14:paraId="6F39E3F1" w14:textId="77777777" w:rsidTr="0053465A">
        <w:tc>
          <w:tcPr>
            <w:tcW w:w="1163" w:type="dxa"/>
          </w:tcPr>
          <w:p w14:paraId="3562D5D6" w14:textId="3E1FB3DC" w:rsidR="004A17EC" w:rsidRDefault="004A17EC" w:rsidP="000C34F6">
            <w:r>
              <w:t>11/5</w:t>
            </w:r>
          </w:p>
        </w:tc>
        <w:tc>
          <w:tcPr>
            <w:tcW w:w="3363" w:type="dxa"/>
          </w:tcPr>
          <w:p w14:paraId="2BB238CD" w14:textId="2D30EE6A" w:rsidR="004A17EC" w:rsidRDefault="004A17EC" w:rsidP="004A17EC">
            <w:r>
              <w:t>Identify</w:t>
            </w:r>
            <w:r>
              <w:t xml:space="preserve"> and implement new</w:t>
            </w:r>
            <w:r>
              <w:t xml:space="preserve"> areas of improvements in text-preprocessing.</w:t>
            </w:r>
          </w:p>
        </w:tc>
      </w:tr>
      <w:tr w:rsidR="0053465A" w14:paraId="0FF7EF4F" w14:textId="77777777" w:rsidTr="0053465A">
        <w:tc>
          <w:tcPr>
            <w:tcW w:w="1163" w:type="dxa"/>
          </w:tcPr>
          <w:p w14:paraId="78789D40" w14:textId="4F6F8831" w:rsidR="0053465A" w:rsidRDefault="00502645" w:rsidP="000C34F6">
            <w:r>
              <w:t>11/5</w:t>
            </w:r>
          </w:p>
        </w:tc>
        <w:tc>
          <w:tcPr>
            <w:tcW w:w="3363" w:type="dxa"/>
          </w:tcPr>
          <w:p w14:paraId="46359091" w14:textId="5D4AEDAB" w:rsidR="0053465A" w:rsidRDefault="004A17EC" w:rsidP="00AF0ED3">
            <w:pPr>
              <w:rPr>
                <w:lang w:eastAsia="ja-JP"/>
              </w:rPr>
            </w:pPr>
            <w:r>
              <w:t>Identify and implement other grammar-based features to use.</w:t>
            </w:r>
          </w:p>
        </w:tc>
      </w:tr>
      <w:tr w:rsidR="004A17EC" w14:paraId="3444EF61" w14:textId="77777777" w:rsidTr="0053465A">
        <w:tc>
          <w:tcPr>
            <w:tcW w:w="1163" w:type="dxa"/>
          </w:tcPr>
          <w:p w14:paraId="35A45B01" w14:textId="04C8A8EE" w:rsidR="004A17EC" w:rsidRDefault="004A17EC" w:rsidP="000C34F6">
            <w:r>
              <w:t>11/12</w:t>
            </w:r>
          </w:p>
        </w:tc>
        <w:tc>
          <w:tcPr>
            <w:tcW w:w="3363" w:type="dxa"/>
          </w:tcPr>
          <w:p w14:paraId="7D43FCC4" w14:textId="78256739" w:rsidR="004A17EC" w:rsidRDefault="004A17EC" w:rsidP="000C34F6">
            <w:r>
              <w:rPr>
                <w:lang w:eastAsia="ja-JP"/>
              </w:rPr>
              <w:t>Evaluate current features and heuristics, prune as necessary.</w:t>
            </w:r>
          </w:p>
        </w:tc>
      </w:tr>
      <w:tr w:rsidR="004A17EC" w14:paraId="5EDBF2BF" w14:textId="77777777" w:rsidTr="0053465A">
        <w:tc>
          <w:tcPr>
            <w:tcW w:w="1163" w:type="dxa"/>
          </w:tcPr>
          <w:p w14:paraId="191C452C" w14:textId="36FC68EC" w:rsidR="004A17EC" w:rsidRDefault="004A17EC" w:rsidP="000C34F6">
            <w:r>
              <w:t>11/19</w:t>
            </w:r>
          </w:p>
        </w:tc>
        <w:tc>
          <w:tcPr>
            <w:tcW w:w="3363" w:type="dxa"/>
          </w:tcPr>
          <w:p w14:paraId="6C9658DC" w14:textId="5CC9A083" w:rsidR="004A17EC" w:rsidRDefault="004A17EC" w:rsidP="000C34F6">
            <w:r>
              <w:t>Write final report</w:t>
            </w:r>
          </w:p>
        </w:tc>
      </w:tr>
      <w:tr w:rsidR="004A17EC" w14:paraId="48F3AF61" w14:textId="77777777" w:rsidTr="0053465A">
        <w:tc>
          <w:tcPr>
            <w:tcW w:w="1163" w:type="dxa"/>
          </w:tcPr>
          <w:p w14:paraId="53A01F99" w14:textId="6E662430" w:rsidR="004A17EC" w:rsidRDefault="004A17EC" w:rsidP="000C34F6">
            <w:r>
              <w:t>11/27</w:t>
            </w:r>
          </w:p>
        </w:tc>
        <w:tc>
          <w:tcPr>
            <w:tcW w:w="3363" w:type="dxa"/>
          </w:tcPr>
          <w:p w14:paraId="40E915BC" w14:textId="5F873B86" w:rsidR="004A17EC" w:rsidRDefault="004A17EC" w:rsidP="000C34F6">
            <w:r>
              <w:t>Submit Proposal</w:t>
            </w:r>
          </w:p>
        </w:tc>
      </w:tr>
    </w:tbl>
    <w:p w14:paraId="37A998AC" w14:textId="6B1C3C39" w:rsidR="000C34F6" w:rsidRPr="000C34F6" w:rsidRDefault="000C34F6" w:rsidP="000C34F6"/>
    <w:p w14:paraId="7D5A646D" w14:textId="25FC7078" w:rsidR="00DE65A5" w:rsidRPr="00C15082" w:rsidRDefault="00DE65A5" w:rsidP="00107ACA">
      <w:pPr>
        <w:pStyle w:val="ACLSubsection"/>
      </w:pPr>
      <w:r w:rsidRPr="00C15082">
        <w:t xml:space="preserve">Sections </w:t>
      </w:r>
    </w:p>
    <w:p w14:paraId="0FCBB425" w14:textId="77777777"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14:paraId="14CA9D60" w14:textId="77777777"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14:paraId="5CBD3BD7" w14:textId="5811C58A" w:rsidR="00DE65A5" w:rsidRPr="00BE5F35" w:rsidRDefault="00DE65A5" w:rsidP="0086469A">
      <w:pPr>
        <w:pStyle w:val="ACLTextFirstlineindent016"/>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w:t>
      </w:r>
      <w:r w:rsidRPr="00F64752">
        <w:rPr>
          <w:rStyle w:val="ACLTextChar"/>
        </w:rPr>
        <w:lastRenderedPageBreak/>
        <w:t xml:space="preserve">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r w:rsidRPr="00BE5F35">
        <w:t xml:space="preserve"> </w:t>
      </w:r>
    </w:p>
    <w:p w14:paraId="62AD8DFB" w14:textId="77777777" w:rsidR="00DE65A5" w:rsidRPr="00C15082" w:rsidRDefault="00DE65A5" w:rsidP="00E006C3">
      <w:pPr>
        <w:pStyle w:val="ACLAcknowledgmentsHeader"/>
      </w:pPr>
      <w:r w:rsidRPr="00C15082">
        <w:t>Acknowledgments</w:t>
      </w:r>
    </w:p>
    <w:p w14:paraId="372CBF16" w14:textId="77777777" w:rsidR="00DE65A5" w:rsidRPr="00CD6FB8" w:rsidRDefault="00DE65A5" w:rsidP="00E006C3">
      <w:pPr>
        <w:pStyle w:val="ACLText"/>
      </w:pPr>
      <w:r w:rsidRPr="00CD6FB8">
        <w:t>Do not number the acknowledgment section.</w:t>
      </w:r>
    </w:p>
    <w:p w14:paraId="4AAB6DDB" w14:textId="7E08FC33" w:rsidR="00DE65A5" w:rsidRDefault="00DE65A5" w:rsidP="00E006C3">
      <w:pPr>
        <w:pStyle w:val="ACLReferencesHeader"/>
      </w:pPr>
      <w:r w:rsidRPr="00C15082">
        <w:t xml:space="preserve">References </w:t>
      </w:r>
      <w:r w:rsidR="003230D4">
        <w:t>1,7,10,13</w:t>
      </w:r>
    </w:p>
    <w:p w14:paraId="7E7A2E8D" w14:textId="2AD53D8A" w:rsidR="00F106BF" w:rsidRPr="00F106BF" w:rsidRDefault="00F106BF" w:rsidP="00F106BF">
      <w:pPr>
        <w:pStyle w:val="ACLReferencesText"/>
        <w:rPr>
          <w:lang w:eastAsia="ja-JP"/>
        </w:rPr>
      </w:pPr>
      <w:r>
        <w:t xml:space="preserve">C.J. Hutto and E.E. Gilbert. 2014. VADER: A Parsimonious Rule-based Model for Sentiment Analysis of Social Media Text. In </w:t>
      </w:r>
      <w:r>
        <w:rPr>
          <w:i/>
        </w:rPr>
        <w:t>Eighth International Conference on Weblogs and Social Media (ICWSM-14)</w:t>
      </w:r>
      <w:r>
        <w:t>, Ann Arbor, MI.</w:t>
      </w:r>
    </w:p>
    <w:p w14:paraId="00E62714" w14:textId="4CBCB50A" w:rsidR="006C4E24" w:rsidRPr="00190040" w:rsidRDefault="003230D4" w:rsidP="00F106BF">
      <w:pPr>
        <w:pStyle w:val="ACLReferencesText"/>
        <w:rPr>
          <w:lang w:eastAsia="ja-JP"/>
        </w:rPr>
      </w:pPr>
      <w:r>
        <w:t>Georgios Balikas and Massih</w:t>
      </w:r>
      <w:r w:rsidR="007502FB">
        <w:t>-Reza Amini. 2016. TwiSE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65112F58" w14:textId="4E3EE357" w:rsidR="00CC3C37" w:rsidRPr="00A94C1C" w:rsidRDefault="00CC3C37" w:rsidP="00CC3C37">
      <w:pPr>
        <w:pStyle w:val="ACLReferencesText"/>
      </w:pPr>
      <w:r>
        <w:t>Preslav Nakov, Alan Ritter, Sara Rosenthal, Fabrizio Sebastiani, and Veselin Stoyanov</w:t>
      </w:r>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International Workshop on Semantic Evaluation (SemEval-2016)</w:t>
      </w:r>
      <w:r w:rsidR="00672A3F">
        <w:t>, San Diego, US</w:t>
      </w:r>
      <w:r w:rsidR="003230D4">
        <w:t>.</w:t>
      </w:r>
    </w:p>
    <w:p w14:paraId="50F75F74" w14:textId="5DA4550C" w:rsidR="001D5389" w:rsidRDefault="003230D4" w:rsidP="00F107EC">
      <w:pPr>
        <w:pStyle w:val="ACLReferencesText"/>
      </w:pPr>
      <w:r>
        <w:t>Stefan R</w:t>
      </w:r>
      <w:r w:rsidRPr="003230D4">
        <w:t>ä</w:t>
      </w:r>
      <w:r>
        <w:t>biger, Mishal Kazmi, Y</w:t>
      </w:r>
      <w:r w:rsidRPr="003230D4">
        <w:t>ü</w:t>
      </w:r>
      <w:r>
        <w:t>cel Saygin, Peter Sch</w:t>
      </w:r>
      <w:r w:rsidRPr="003230D4">
        <w:t>ü</w:t>
      </w:r>
      <w:r>
        <w:t xml:space="preserve">ller, and Myra Spiliopoulou. 2016. SteM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t xml:space="preserve">Vikrant Yadav. 2016. thecerealkiller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C5892" w14:textId="77777777" w:rsidR="006D3852" w:rsidRDefault="006D3852">
      <w:r>
        <w:separator/>
      </w:r>
    </w:p>
    <w:p w14:paraId="6CAECED3" w14:textId="77777777" w:rsidR="006D3852" w:rsidRDefault="006D3852"/>
  </w:endnote>
  <w:endnote w:type="continuationSeparator" w:id="0">
    <w:p w14:paraId="2C8665D4" w14:textId="77777777" w:rsidR="006D3852" w:rsidRDefault="006D3852">
      <w:r>
        <w:continuationSeparator/>
      </w:r>
    </w:p>
    <w:p w14:paraId="3AFD3D7F" w14:textId="77777777" w:rsidR="006D3852" w:rsidRDefault="006D3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7FBEA" w14:textId="77777777" w:rsidR="006D3852" w:rsidRDefault="006D3852" w:rsidP="00A56EDB">
      <w:pPr>
        <w:widowControl w:val="0"/>
        <w:spacing w:line="120" w:lineRule="auto"/>
      </w:pPr>
      <w:r>
        <w:separator/>
      </w:r>
      <w:r>
        <w:separator/>
      </w:r>
      <w:r>
        <w:t xml:space="preserve"> </w:t>
      </w:r>
    </w:p>
  </w:footnote>
  <w:footnote w:type="continuationSeparator" w:id="0">
    <w:p w14:paraId="189CDF9C" w14:textId="77777777" w:rsidR="006D3852" w:rsidRDefault="006D3852" w:rsidP="00A56EDB">
      <w:pPr>
        <w:widowControl w:val="0"/>
        <w:spacing w:line="120" w:lineRule="auto"/>
      </w:pPr>
      <w:r>
        <w:separator/>
      </w:r>
    </w:p>
  </w:footnote>
  <w:footnote w:type="continuationNotice" w:id="1">
    <w:p w14:paraId="578F22FE" w14:textId="77777777" w:rsidR="006D3852" w:rsidRDefault="006D3852" w:rsidP="00A56EDB">
      <w:pPr>
        <w:widowControl w:val="0"/>
        <w:spacing w:line="120" w:lineRule="auto"/>
      </w:pPr>
      <w:r>
        <w:separator/>
      </w:r>
    </w:p>
  </w:footnote>
  <w:footnote w:id="2">
    <w:p w14:paraId="6BA39752" w14:textId="77777777"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Habash and William Schuler, </w:t>
      </w:r>
      <w:r w:rsidRPr="009C4BC3">
        <w:rPr>
          <w:lang w:eastAsia="tr-TR"/>
        </w:rPr>
        <w:t>NAACL-HLT-10 by Claudia Le</w:t>
      </w:r>
      <w:r>
        <w:rPr>
          <w:lang w:eastAsia="tr-TR"/>
        </w:rPr>
        <w:t>acock and Richard Wicen- towski</w:t>
      </w:r>
      <w:r w:rsidRPr="009C4BC3">
        <w:rPr>
          <w:lang w:eastAsia="tr-TR"/>
        </w:rPr>
        <w:t>,</w:t>
      </w:r>
      <w:r>
        <w:rPr>
          <w:lang w:eastAsia="tr-TR"/>
        </w:rPr>
        <w:t xml:space="preserve"> NAACL-HLT-09 by Joakim Nivre and Noah Smith, for </w:t>
      </w:r>
      <w:r w:rsidRPr="00925BC9">
        <w:rPr>
          <w:lang w:eastAsia="tr-TR"/>
        </w:rPr>
        <w:t xml:space="preserve">ACL-05 by Hwee Tou Ng and Kemal Oflazer, for ACL-02 by Eugene Charniak and Dekang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14:paraId="7DF10871" w14:textId="77777777"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
  </w:footnote>
  <w:footnote w:id="4">
    <w:p w14:paraId="22DDC75F" w14:textId="77777777"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6F3F"/>
    <w:rsid w:val="00227905"/>
    <w:rsid w:val="00235C1C"/>
    <w:rsid w:val="00243AA3"/>
    <w:rsid w:val="002443B8"/>
    <w:rsid w:val="0024756A"/>
    <w:rsid w:val="00250EBA"/>
    <w:rsid w:val="0025278A"/>
    <w:rsid w:val="00253EFC"/>
    <w:rsid w:val="00255301"/>
    <w:rsid w:val="002639B3"/>
    <w:rsid w:val="0026405D"/>
    <w:rsid w:val="00266F6E"/>
    <w:rsid w:val="0027176F"/>
    <w:rsid w:val="00271D4E"/>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17EC"/>
    <w:rsid w:val="004A3F93"/>
    <w:rsid w:val="004B2150"/>
    <w:rsid w:val="004B4AC4"/>
    <w:rsid w:val="004C06B9"/>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819BF"/>
    <w:rsid w:val="00584B09"/>
    <w:rsid w:val="00594076"/>
    <w:rsid w:val="0059711A"/>
    <w:rsid w:val="005A1F28"/>
    <w:rsid w:val="005A3B8A"/>
    <w:rsid w:val="005A756E"/>
    <w:rsid w:val="005A7EBF"/>
    <w:rsid w:val="005B22CC"/>
    <w:rsid w:val="005B27E3"/>
    <w:rsid w:val="005B39E5"/>
    <w:rsid w:val="005B5E35"/>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3852"/>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02FB"/>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2F80"/>
    <w:rsid w:val="00903B24"/>
    <w:rsid w:val="00904100"/>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38BA"/>
    <w:rsid w:val="00CA4E65"/>
    <w:rsid w:val="00CB2D37"/>
    <w:rsid w:val="00CB768B"/>
    <w:rsid w:val="00CC0BEC"/>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F8B36-5ADF-2540-B4F3-98B67793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1203</Words>
  <Characters>6863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4</cp:revision>
  <cp:lastPrinted>2015-10-16T01:22:00Z</cp:lastPrinted>
  <dcterms:created xsi:type="dcterms:W3CDTF">2017-10-16T06:15:00Z</dcterms:created>
  <dcterms:modified xsi:type="dcterms:W3CDTF">2017-10-17T01:46:00Z</dcterms:modified>
</cp:coreProperties>
</file>