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4E79"/>
          <w:sz w:val="48"/>
        </w:rPr>
        <w:t>RAPPORT D'ÉVALUATION TECHNIQUE — ÉDITION FINALE GA</w:t>
      </w:r>
    </w:p>
    <w:p>
      <w:pPr>
        <w:jc w:val="center"/>
      </w:pPr>
      <w:r>
        <w:rPr>
          <w:rFonts w:ascii="Calibri" w:hAnsi="Calibri"/>
          <w:color w:val="4472C4"/>
          <w:sz w:val="36"/>
        </w:rPr>
        <w:t>Projet AEGIS v2.2-GA (Révision Finale — 2 Septembre 2026)</w:t>
      </w:r>
    </w:p>
    <w:p/>
    <w:p/>
    <w:p>
      <w:pPr>
        <w:jc w:val="center"/>
      </w:pPr>
      <w:r>
        <w:t>Référence : AEGIS-AUDIT-2026-EVAL-003-GA-FINAL</w:t>
        <w:br/>
      </w:r>
      <w:r>
        <w:t>Date d'émission : 02 September 2026</w:t>
        <w:br/>
      </w:r>
      <w:r>
        <w:t>Classification : CONFIDENTIEL – ÉVALUATION INTERNE</w:t>
        <w:br/>
      </w:r>
      <w:r>
        <w:rPr>
          <w:i/>
          <w:color w:val="707070"/>
          <w:sz w:val="22"/>
        </w:rPr>
        <w:t>Méthodologie : Analyse documentaire croisée (CdC v2.2-RC1, Note de Validation, Spécification v2.1-FINAL, Mémorandum de Réponse GA Révision Finale)</w:t>
      </w:r>
    </w:p>
    <w:p>
      <w:r>
        <w:br w:type="page"/>
      </w:r>
    </w:p>
    <w:p>
      <w:pPr>
        <w:pStyle w:val="Heading1"/>
      </w:pPr>
      <w:r>
        <w:t>SOMMAIRE</w:t>
      </w:r>
    </w:p>
    <w:p>
      <w:pPr>
        <w:pStyle w:val="ListBullet"/>
        <w:ind w:left="283"/>
      </w:pPr>
      <w:r>
        <w:t>1. Résumé Exécutif &amp; Scoring Comparatif (RC1 → GA → GA-FINAL)</w:t>
      </w:r>
    </w:p>
    <w:p>
      <w:pPr>
        <w:pStyle w:val="ListBullet"/>
        <w:ind w:left="283"/>
      </w:pPr>
      <w:r>
        <w:t>2. Qualité de l'Application &amp; Architecture</w:t>
      </w:r>
    </w:p>
    <w:p>
      <w:pPr>
        <w:pStyle w:val="ListBullet"/>
        <w:ind w:left="850"/>
      </w:pPr>
      <w:r>
        <w:t xml:space="preserve">   2.1 Renforcements Validés (Révision Finale GA)</w:t>
      </w:r>
    </w:p>
    <w:p>
      <w:pPr>
        <w:pStyle w:val="ListBullet"/>
        <w:ind w:left="850"/>
      </w:pPr>
      <w:r>
        <w:t xml:space="preserve">   2.2 Fragilités Résiduelles &amp; Nouvelles</w:t>
      </w:r>
    </w:p>
    <w:p>
      <w:pPr>
        <w:pStyle w:val="ListBullet"/>
        <w:ind w:left="283"/>
      </w:pPr>
      <w:r>
        <w:t>3. Qualité, Rigueur de l'Audit &amp; Homologation</w:t>
      </w:r>
    </w:p>
    <w:p>
      <w:pPr>
        <w:pStyle w:val="ListBullet"/>
        <w:ind w:left="850"/>
      </w:pPr>
      <w:r>
        <w:t xml:space="preserve">   3.1 Protocole BRAVO : De l'Intention à la Preuve</w:t>
      </w:r>
    </w:p>
    <w:p>
      <w:pPr>
        <w:pStyle w:val="ListBullet"/>
        <w:ind w:left="850"/>
      </w:pPr>
      <w:r>
        <w:t xml:space="preserve">   3.2 Auto-Homologation '100 %' : Analyse du Risque Juridique</w:t>
      </w:r>
    </w:p>
    <w:p>
      <w:pPr>
        <w:pStyle w:val="ListBullet"/>
        <w:ind w:left="850"/>
      </w:pPr>
      <w:r>
        <w:t xml:space="preserve">   3.3 Métriques Matérielles : Fiabilité &amp; Méthodologie</w:t>
      </w:r>
    </w:p>
    <w:p>
      <w:pPr>
        <w:pStyle w:val="ListBullet"/>
        <w:ind w:left="283"/>
      </w:pPr>
      <w:r>
        <w:t>4. Capacité de Résistance en l'État</w:t>
      </w:r>
    </w:p>
    <w:p>
      <w:pPr>
        <w:pStyle w:val="ListBullet"/>
        <w:ind w:left="850"/>
      </w:pPr>
      <w:r>
        <w:t xml:space="preserve">   4.1 Gains de Résistance (Certificats Formels &amp; CI)</w:t>
      </w:r>
    </w:p>
    <w:p>
      <w:pPr>
        <w:pStyle w:val="ListBullet"/>
        <w:ind w:left="850"/>
      </w:pPr>
      <w:r>
        <w:t xml:space="preserve">   4.2 Limites Structurelles Persistantes</w:t>
      </w:r>
    </w:p>
    <w:p>
      <w:pPr>
        <w:pStyle w:val="ListBullet"/>
        <w:ind w:left="283"/>
      </w:pPr>
      <w:r>
        <w:t>5. Valeur Marchande</w:t>
      </w:r>
    </w:p>
    <w:p>
      <w:pPr>
        <w:pStyle w:val="ListBullet"/>
        <w:ind w:left="850"/>
      </w:pPr>
      <w:r>
        <w:t xml:space="preserve">   5.1 Impact des Renforcements sur la Valorisation</w:t>
      </w:r>
    </w:p>
    <w:p>
      <w:pPr>
        <w:pStyle w:val="ListBullet"/>
        <w:ind w:left="850"/>
      </w:pPr>
      <w:r>
        <w:t xml:space="preserve">   5.2 Freins Persistants &amp; Plafond B2G</w:t>
      </w:r>
    </w:p>
    <w:p>
      <w:pPr>
        <w:pStyle w:val="ListBullet"/>
        <w:ind w:left="283"/>
      </w:pPr>
      <w:r>
        <w:t>6. Verdict Global &amp; Recommandations Prioritaires</w:t>
      </w:r>
    </w:p>
    <w:p>
      <w:pPr>
        <w:pStyle w:val="ListBullet"/>
        <w:ind w:left="283"/>
      </w:pPr>
      <w:r>
        <w:t>Annexe A – Matrice de Scoring Comparatif (RC1 vs GA vs GA-FINAL)</w:t>
      </w:r>
    </w:p>
    <w:p>
      <w:pPr>
        <w:pStyle w:val="ListBullet"/>
        <w:ind w:left="283"/>
      </w:pPr>
      <w:r>
        <w:t>Annexe B – Analyse Détaillée des Certificats Kani &amp; Miri</w:t>
      </w:r>
    </w:p>
    <w:p>
      <w:r>
        <w:br w:type="page"/>
      </w:r>
    </w:p>
    <w:p>
      <w:pPr>
        <w:pStyle w:val="Heading1"/>
      </w:pPr>
      <w:r>
        <w:t>1. RÉSUMÉ EXÉCUTIF &amp; SCORING COMPARATIF</w:t>
      </w:r>
    </w:p>
    <w:p>
      <w:pPr>
        <w:spacing w:after="120"/>
      </w:pPr>
      <w:r>
        <w:rPr>
          <w:rFonts w:ascii="Calibri" w:hAnsi="Calibri"/>
          <w:b w:val="0"/>
          <w:i/>
          <w:sz w:val="22"/>
        </w:rPr>
        <w:t>La révision finale GA du 2 septembre 2026 représente une montée en maturité technique significative. L'équipe AEGIS a structuré ses preuves de manière beaucoup plus rigoureuse : certificats formels AWS Kani (53/53) et Miri (0 UB), référencement d'une Pull Request OSS-Fuzz (#16091), matrice de levée traçable des critiques, et feuille de route matérielle B2G (Phase 9). Ces éléments démontrent une culture d'ingénierie de haut niveau.</w:t>
      </w:r>
    </w:p>
    <w:p>
      <w:pPr>
        <w:spacing w:after="120"/>
      </w:pPr>
      <w:r>
        <w:rPr>
          <w:rFonts w:ascii="Calibri" w:hAnsi="Calibri"/>
          <w:b w:val="0"/>
          <w:i/>
          <w:sz w:val="22"/>
        </w:rPr>
        <w:t>Cependant, trois problèmes fondamentaux persistent : (1) l'auto-homologation '100 % HOMOLOGUÉ' s'aggrave et devient un risque juridique contractuel ; (2) la métrique énergétique '0 mAh' sur 10 minutes reste physiquement invraisemblable ; (3) les mitigations ALPHA 2 et ALPHA 3 conservent des fondements conceptuellement fragiles face à un attaquant root ou matériel.</w:t>
      </w:r>
    </w:p>
    <w:p>
      <w:pPr>
        <w:pStyle w:val="Heading2"/>
      </w:pPr>
      <w:r>
        <w:t>Scoring Comparatif sur Trois Itérations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Critère</w:t>
            </w:r>
          </w:p>
        </w:tc>
        <w:tc>
          <w:tcPr>
            <w:tcW w:type="dxa" w:w="1728"/>
          </w:tcPr>
          <w:p>
            <w:r>
              <w:t>v2.2-RC1</w:t>
            </w:r>
          </w:p>
        </w:tc>
        <w:tc>
          <w:tcPr>
            <w:tcW w:type="dxa" w:w="1728"/>
          </w:tcPr>
          <w:p>
            <w:r>
              <w:t>v2.2-GA</w:t>
            </w:r>
          </w:p>
        </w:tc>
        <w:tc>
          <w:tcPr>
            <w:tcW w:type="dxa" w:w="1728"/>
          </w:tcPr>
          <w:p>
            <w:r>
              <w:t>v2.2-GA-FINAL</w:t>
            </w:r>
          </w:p>
        </w:tc>
        <w:tc>
          <w:tcPr>
            <w:tcW w:type="dxa" w:w="1728"/>
          </w:tcPr>
          <w:p>
            <w:r>
              <w:t>Tendance</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Qualité Application</w:t>
            </w:r>
          </w:p>
        </w:tc>
        <w:tc>
          <w:tcPr>
            <w:tcW w:type="dxa" w:w="1728"/>
          </w:tcPr>
          <w:p>
            <w:r>
              <w:t>7,5/10</w:t>
            </w:r>
          </w:p>
        </w:tc>
        <w:tc>
          <w:tcPr>
            <w:tcW w:type="dxa" w:w="1728"/>
          </w:tcPr>
          <w:p>
            <w:r>
              <w:t>8,5/10</w:t>
            </w:r>
          </w:p>
        </w:tc>
        <w:tc>
          <w:tcPr>
            <w:tcW w:type="dxa" w:w="1728"/>
          </w:tcPr>
          <w:p>
            <w:r>
              <w:rPr>
                <w:b/>
                <w:color w:val="008000"/>
              </w:rPr>
              <w:t>8,8/10</w:t>
            </w:r>
          </w:p>
        </w:tc>
        <w:tc>
          <w:tcPr>
            <w:tcW w:type="dxa" w:w="1728"/>
          </w:tcPr>
          <w:p>
            <w:r>
              <w:t>↑ Preuves formelles, traçabilité</w:t>
            </w:r>
          </w:p>
        </w:tc>
      </w:tr>
      <w:tr>
        <w:tc>
          <w:tcPr>
            <w:tcW w:type="dxa" w:w="1728"/>
          </w:tcPr>
          <w:p>
            <w:r>
              <w:t>Rigueur Audit</w:t>
            </w:r>
          </w:p>
        </w:tc>
        <w:tc>
          <w:tcPr>
            <w:tcW w:type="dxa" w:w="1728"/>
          </w:tcPr>
          <w:p>
            <w:r>
              <w:t>5/10</w:t>
            </w:r>
          </w:p>
        </w:tc>
        <w:tc>
          <w:tcPr>
            <w:tcW w:type="dxa" w:w="1728"/>
          </w:tcPr>
          <w:p>
            <w:r>
              <w:t>6/10</w:t>
            </w:r>
          </w:p>
        </w:tc>
        <w:tc>
          <w:tcPr>
            <w:tcW w:type="dxa" w:w="1728"/>
          </w:tcPr>
          <w:p>
            <w:r>
              <w:rPr>
                <w:b/>
                <w:color w:val="008000"/>
              </w:rPr>
              <w:t>6,5/10</w:t>
            </w:r>
          </w:p>
        </w:tc>
        <w:tc>
          <w:tcPr>
            <w:tcW w:type="dxa" w:w="1728"/>
          </w:tcPr>
          <w:p>
            <w:r>
              <w:t>↑ Kani/Miri/OSS-Fuzz PR, mais auto-homologation ↑ risque</w:t>
            </w:r>
          </w:p>
        </w:tc>
      </w:tr>
      <w:tr>
        <w:tc>
          <w:tcPr>
            <w:tcW w:type="dxa" w:w="1728"/>
          </w:tcPr>
          <w:p>
            <w:r>
              <w:t>Résistance</w:t>
            </w:r>
          </w:p>
        </w:tc>
        <w:tc>
          <w:tcPr>
            <w:tcW w:type="dxa" w:w="1728"/>
          </w:tcPr>
          <w:p>
            <w:r>
              <w:t>6,5/10</w:t>
            </w:r>
          </w:p>
        </w:tc>
        <w:tc>
          <w:tcPr>
            <w:tcW w:type="dxa" w:w="1728"/>
          </w:tcPr>
          <w:p>
            <w:r>
              <w:t>7,5/10</w:t>
            </w:r>
          </w:p>
        </w:tc>
        <w:tc>
          <w:tcPr>
            <w:tcW w:type="dxa" w:w="1728"/>
          </w:tcPr>
          <w:p>
            <w:r>
              <w:rPr>
                <w:b/>
                <w:color w:val="008000"/>
              </w:rPr>
              <w:t>7,5/10</w:t>
            </w:r>
          </w:p>
        </w:tc>
        <w:tc>
          <w:tcPr>
            <w:tcW w:type="dxa" w:w="1728"/>
          </w:tcPr>
          <w:p>
            <w:r>
              <w:t>→ Stable — solide en profondeur, limites root/matériel</w:t>
            </w:r>
          </w:p>
        </w:tc>
      </w:tr>
      <w:tr>
        <w:tc>
          <w:tcPr>
            <w:tcW w:type="dxa" w:w="1728"/>
          </w:tcPr>
          <w:p>
            <w:r>
              <w:t>Valeur Marchande</w:t>
            </w:r>
          </w:p>
        </w:tc>
        <w:tc>
          <w:tcPr>
            <w:tcW w:type="dxa" w:w="1728"/>
          </w:tcPr>
          <w:p>
            <w:r>
              <w:t>200–350 k€</w:t>
            </w:r>
          </w:p>
        </w:tc>
        <w:tc>
          <w:tcPr>
            <w:tcW w:type="dxa" w:w="1728"/>
          </w:tcPr>
          <w:p>
            <w:r>
              <w:t>350–500 k€</w:t>
            </w:r>
          </w:p>
        </w:tc>
        <w:tc>
          <w:tcPr>
            <w:tcW w:type="dxa" w:w="1728"/>
          </w:tcPr>
          <w:p>
            <w:r>
              <w:rPr>
                <w:b/>
                <w:color w:val="008000"/>
              </w:rPr>
              <w:t>400–600 k€</w:t>
            </w:r>
          </w:p>
        </w:tc>
        <w:tc>
          <w:tcPr>
            <w:tcW w:type="dxa" w:w="1728"/>
          </w:tcPr>
          <w:p>
            <w:r>
              <w:t>↑ IP valorisée par preuves formelles</w:t>
            </w:r>
          </w:p>
        </w:tc>
      </w:tr>
    </w:tbl>
    <w:p>
      <w:r>
        <w:br w:type="page"/>
      </w:r>
    </w:p>
    <w:p>
      <w:pPr>
        <w:pStyle w:val="Heading1"/>
      </w:pPr>
      <w:r>
        <w:t>2. QUALITÉ DE L'APPLICATION &amp; ARCHITECTURE</w:t>
      </w:r>
    </w:p>
    <w:p>
      <w:pPr>
        <w:pStyle w:val="Heading2"/>
      </w:pPr>
      <w:r>
        <w:t>2.1 Renforcements Validés (Révision Finale GA)</w:t>
      </w:r>
    </w:p>
    <w:p>
      <w:pPr>
        <w:pStyle w:val="ListBullet"/>
      </w:pPr>
      <w:r>
        <w:rPr>
          <w:b/>
        </w:rPr>
        <w:t xml:space="preserve">Certificat de Preuve Formelle AWS Kani (53/53) : </w:t>
      </w:r>
      <w:r>
        <w:t>Le document fournit désormais un certificat détaillé : Kani Rust Verifier 0.67.0 / CBMC 6.8.0, harness verify_process_512b_frame_bounds, 53 checks prouvés, 0 failures. C'est une preuve mécanique objective de l'absence de débordement de tampon et de panic sur le traitement des trames de 512 octets. C'est un atout technique majeur et différenciant.</w:t>
      </w:r>
    </w:p>
    <w:p>
      <w:pPr>
        <w:pStyle w:val="ListBullet"/>
      </w:pPr>
      <w:r>
        <w:rPr>
          <w:b/>
        </w:rPr>
        <w:t xml:space="preserve">Certificat de Sécurité Mémoire Miri (0 UB) : </w:t>
      </w:r>
      <w:r>
        <w:t>Miri nightly (Run ID 33577582440) atteste 0 Memory Leaks, 0 Undefined Behaviors, 0 FFI Violations sur le roundtrip AES-256-GCM NEON. Cela valide formellement la sûreté des appels FFI et l'absence de comportements indéfinis au niveau du modèle d'emprunt Rust.</w:t>
      </w:r>
    </w:p>
    <w:p>
      <w:pPr>
        <w:pStyle w:val="ListBullet"/>
      </w:pPr>
      <w:r>
        <w:rPr>
          <w:b/>
        </w:rPr>
        <w:t xml:space="preserve">Pull Request OSS-Fuzz #16091 : </w:t>
      </w:r>
      <w:r>
        <w:t>La référence à une PR officielle Google OSS-Fuzz est un signal fort de transparence. Si vérifiable publiquement, cela constitue une preuve d'intégration à une infrastructure de fuzzing continue industrielle.</w:t>
      </w:r>
    </w:p>
    <w:p>
      <w:pPr>
        <w:pStyle w:val="ListBullet"/>
      </w:pPr>
      <w:r>
        <w:rPr>
          <w:b/>
        </w:rPr>
        <w:t xml:space="preserve">Matrice de Levée Définitive des Critiques : </w:t>
      </w:r>
      <w:r>
        <w:t>La structuration en tableau traçable (Critique → Statut Initial → Solution → Statut Final) démontre une gouvernance de projet mature et une capacité à documenter la résolution systématique des anomalies. C'est un indicateur de maturité organisationnelle.</w:t>
      </w:r>
    </w:p>
    <w:p>
      <w:pPr>
        <w:pStyle w:val="ListBullet"/>
      </w:pPr>
      <w:r>
        <w:rPr>
          <w:b/>
        </w:rPr>
        <w:t xml:space="preserve">Feuille de Route Matérielle B2G (Phase 9) : </w:t>
      </w:r>
      <w:r>
        <w:t>La prospective d'intégration SoC (SRAM-PUF, Active Tamper Mesh, Zéroisation &lt;1ms, AOSP MTE) montre une vision produit à long terme cohérente. Bien que ce ne soit pas du livré immédiat, cela valorise l'IP stratégique et ouvre des marchés B2G/Gouvernement à moyen terme.</w:t>
      </w:r>
    </w:p>
    <w:p>
      <w:pPr>
        <w:pStyle w:val="ListBullet"/>
      </w:pPr>
      <w:r>
        <w:rPr>
          <w:b/>
        </w:rPr>
        <w:t xml:space="preserve">Pipeline CI Reproductible (Job ID 33577582440) : </w:t>
      </w:r>
      <w:r>
        <w:t>L'identifiant de job CI publié renforce la crédibilité des builds déterministes. Un auditeur peut théoriquement recompiler et comparer l'empreinte SHA-256 scellée.</w:t>
      </w:r>
    </w:p>
    <w:p>
      <w:pPr>
        <w:pStyle w:val="Heading2"/>
      </w:pPr>
      <w:r>
        <w:t>2.2 Fragilités Résiduelles &amp; Nouvelles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Criticité</w:t>
            </w:r>
          </w:p>
        </w:tc>
        <w:tc>
          <w:tcPr>
            <w:tcW w:type="dxa" w:w="2880"/>
          </w:tcPr>
          <w:p>
            <w:r>
              <w:t>Problème</w:t>
            </w:r>
          </w:p>
        </w:tc>
        <w:tc>
          <w:tcPr>
            <w:tcW w:type="dxa" w:w="2880"/>
          </w:tcPr>
          <w:p>
            <w:r>
              <w:t>Analyse Technique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b/>
                <w:color w:val="FF8000"/>
              </w:rPr>
              <w:t>MAJEUR</w:t>
            </w:r>
          </w:p>
        </w:tc>
        <w:tc>
          <w:tcPr>
            <w:tcW w:type="dxa" w:w="2880"/>
          </w:tcPr>
          <w:p>
            <w:r>
              <w:t>Auto-homologation '100 % HOMOLOGUÉ'</w:t>
            </w:r>
          </w:p>
        </w:tc>
        <w:tc>
          <w:tcPr>
            <w:tcW w:type="dxa" w:w="2880"/>
          </w:tcPr>
          <w:p>
            <w:r>
              <w:t>Le registre de scellement affirme désormais 'PASSED (100 % HOMOLOGUÉ PROTOCOLE BRAVO / GA)' et 'READY FOR B2G PRODUCTION DEPLOYMENT / HARDWARE PHASE 9'. Cette formulation est juridiquement risquée. En l'absence d'audit tiers indépendant (PASSI, Common Criteria, FIPS 140-3), l'affirmation 'homologué' peut être qualifiée de pratique commerciale trompeuse dans un contexte B2G. Elle expose l'éditeur à des recours contractuels si un acheteur gouvernemental s'appuie sur ce document pour un déploiement.</w:t>
            </w:r>
          </w:p>
        </w:tc>
      </w:tr>
      <w:tr>
        <w:tc>
          <w:tcPr>
            <w:tcW w:type="dxa" w:w="2880"/>
          </w:tcPr>
          <w:p>
            <w:r>
              <w:rPr>
                <w:b/>
                <w:color w:val="FF8000"/>
              </w:rPr>
              <w:t>MAJEUR</w:t>
            </w:r>
          </w:p>
        </w:tc>
        <w:tc>
          <w:tcPr>
            <w:tcW w:type="dxa" w:w="2880"/>
          </w:tcPr>
          <w:p>
            <w:r>
              <w:t>Watchdog Sidecar vs Root Total</w:t>
            </w:r>
          </w:p>
        </w:tc>
        <w:tc>
          <w:tcPr>
            <w:tcW w:type="dxa" w:w="2880"/>
          </w:tcPr>
          <w:p>
            <w:r>
              <w:t>Non résolu. Un attaquant root peut tuer le groupe de processus entier, intercepter le socket UNIX, ou usurper les réponses TPM. Le watchdog améliore la résistance face à un arrêt ciblé du processus applicatif par un exploit non-root, mais ne constitue pas une parade contre une compromission kernel ou root.</w:t>
            </w:r>
          </w:p>
        </w:tc>
      </w:tr>
      <w:tr>
        <w:tc>
          <w:tcPr>
            <w:tcW w:type="dxa" w:w="2880"/>
          </w:tcPr>
          <w:p>
            <w:r>
              <w:rPr>
                <w:b/>
                <w:color w:val="FF8000"/>
              </w:rPr>
              <w:t>MAJEUR</w:t>
            </w:r>
          </w:p>
        </w:tc>
        <w:tc>
          <w:tcPr>
            <w:tcW w:type="dxa" w:w="2880"/>
          </w:tcPr>
          <w:p>
            <w:r>
              <w:t>Bouclier ALPHA 2 (Rowhammer)</w:t>
            </w:r>
          </w:p>
        </w:tc>
        <w:tc>
          <w:tcPr>
            <w:tcW w:type="dxa" w:w="2880"/>
          </w:tcPr>
          <w:p>
            <w:r>
              <w:t>Non corrigé conceptuellement. Le document continue d'affirmer que des pages de garde PROT_NONE protègent contre Rowhammer/RAMBleed. C'est physiquement incorrect. Rowhammer agit au niveau des lignes de bit de la DRAM, indépendamment de la table des pages virtuelles. La mitigation reste une confusion entre protection d'accès MMU et intégrité physique DRAM.</w:t>
            </w:r>
          </w:p>
        </w:tc>
      </w:tr>
      <w:tr>
        <w:tc>
          <w:tcPr>
            <w:tcW w:type="dxa" w:w="2880"/>
          </w:tcPr>
          <w:p>
            <w:r>
              <w:rPr>
                <w:b/>
                <w:color w:val="FF8000"/>
              </w:rPr>
              <w:t>MAJEUR</w:t>
            </w:r>
          </w:p>
        </w:tc>
        <w:tc>
          <w:tcPr>
            <w:tcW w:type="dxa" w:w="2880"/>
          </w:tcPr>
          <w:p>
            <w:r>
              <w:t>Bouclier ALPHA 3 (Zero-Trust Kernel)</w:t>
            </w:r>
          </w:p>
        </w:tc>
        <w:tc>
          <w:tcPr>
            <w:tcW w:type="dxa" w:w="2880"/>
          </w:tcPr>
          <w:p>
            <w:r>
              <w:t>Non renforcé. La surveillance de /proc/self/status et /proc/kallsyms repose sur l'honnêteté du kernel. Un rootkit kernel contrôle ces interfaces et peut les falsifier. C'est une détection de surface facilement contournable.</w:t>
            </w:r>
          </w:p>
        </w:tc>
      </w:tr>
      <w:tr>
        <w:tc>
          <w:tcPr>
            <w:tcW w:type="dxa" w:w="2880"/>
          </w:tcPr>
          <w:p>
            <w:r>
              <w:rPr>
                <w:b/>
              </w:rPr>
              <w:t>MINEUR</w:t>
            </w:r>
          </w:p>
        </w:tc>
        <w:tc>
          <w:tcPr>
            <w:tcW w:type="dxa" w:w="2880"/>
          </w:tcPr>
          <w:p>
            <w:r>
              <w:t>Métrique Énergétique '0 mAh'</w:t>
            </w:r>
          </w:p>
        </w:tc>
        <w:tc>
          <w:tcPr>
            <w:tcW w:type="dxa" w:w="2880"/>
          </w:tcPr>
          <w:p>
            <w:r>
              <w:t>Toujours présente et maintenant présentée sous forme de tableau sur 10 minutes. La valeur 'Computed drain: 0 mAh' est physiquement invraisemblable pour un streaming Tor+QUIC. Soit l'appareil était branché (charge active masquant la consommation), soit la fenêtre était trop courte. Cette métrique doit être reprise sur 24h débranchée avec courbes mAh/h.</w:t>
            </w:r>
          </w:p>
        </w:tc>
      </w:tr>
      <w:tr>
        <w:tc>
          <w:tcPr>
            <w:tcW w:type="dxa" w:w="2880"/>
          </w:tcPr>
          <w:p>
            <w:r>
              <w:rPr>
                <w:b/>
              </w:rPr>
              <w:t>MINEUR</w:t>
            </w:r>
          </w:p>
        </w:tc>
        <w:tc>
          <w:tcPr>
            <w:tcW w:type="dxa" w:w="2880"/>
          </w:tcPr>
          <w:p>
            <w:r>
              <w:t>Phase 9 SoC B2G marquée 'READY'</w:t>
            </w:r>
          </w:p>
        </w:tc>
        <w:tc>
          <w:tcPr>
            <w:tcW w:type="dxa" w:w="2880"/>
          </w:tcPr>
          <w:p>
            <w:r>
              <w:t>La Phase 9 (Conception SoC B2G) est qualifiée de 'READY' dans le tableau d'audit. Or, il s'agit d'une feuille de route prospective (SRAM-PUF, Tamper Mesh, AOSP MTE) qui n'a pas été implémentée, ni qualifiée sur silicium. Qualifier une architecture conceptuelle de 'READY' prête au déploiement est une surévaluation du statut de maturité.</w:t>
            </w:r>
          </w:p>
        </w:tc>
      </w:tr>
    </w:tbl>
    <w:p>
      <w:r>
        <w:br w:type="page"/>
      </w:r>
    </w:p>
    <w:p>
      <w:pPr>
        <w:pStyle w:val="Heading1"/>
      </w:pPr>
      <w:r>
        <w:t>3. QUALITÉ, RIGUEUR DE L'AUDIT &amp; HOMOLOGATION</w:t>
      </w:r>
    </w:p>
    <w:p>
      <w:pPr>
        <w:pStyle w:val="Heading2"/>
      </w:pPr>
      <w:r>
        <w:t>3.1 Protocole BRAVO : De l'Intention à la Preuve</w:t>
      </w:r>
    </w:p>
    <w:p>
      <w:pPr>
        <w:spacing w:after="120"/>
      </w:pPr>
      <w:r>
        <w:rPr>
          <w:rFonts w:ascii="Calibri" w:hAnsi="Calibri"/>
          <w:b w:val="0"/>
          <w:i w:val="0"/>
          <w:sz w:val="22"/>
        </w:rPr>
        <w:t>La révision finale GA apporte un niveau de détail technique incontestablement supérieur sur le Protocole BRAVO. Les certificats Kani et Miri, la référence à la PR OSS-Fuzz #16091, et l'identifiant de pipeline CI sont des éléments de preuve concrets qui dépassent le stade de l'intention.</w:t>
      </w:r>
    </w:p>
    <w:p>
      <w:pPr>
        <w:spacing w:after="120"/>
      </w:pPr>
      <w:r>
        <w:rPr>
          <w:rFonts w:ascii="Calibri" w:hAnsi="Calibri"/>
          <w:b w:val="0"/>
          <w:i w:val="0"/>
          <w:sz w:val="22"/>
        </w:rPr>
        <w:t>Cependant, ces preuves restent des auto-attestations internes :</w:t>
      </w:r>
    </w:p>
    <w:p>
      <w:pPr>
        <w:pStyle w:val="ListBullet"/>
      </w:pPr>
      <w:r>
        <w:t>Kani &amp; Miri : Les rapports sont présentés comme des 'certificats' générés par des outils automatisés. Ils prouvent des propriétés formelles sur le code source, mais ne constituent pas une audit de sécurité fonctionnelle. Un attaquant ne vise pas les bornes mémoire prouvées par Kani ; il vise les logiques de haut niveau (race conditions, fuites d'état, contournements UI).</w:t>
      </w:r>
    </w:p>
    <w:p>
      <w:pPr>
        <w:pStyle w:val="ListBullet"/>
      </w:pPr>
      <w:r>
        <w:t>OSS-Fuzz PR #16091 : La référence est précise. Si vérifiable sur le dépôt public Google OSS-Fuzz, c'est un vrai plus. En l'absence de lien direct dans le document, elle reste une auto-attestation.</w:t>
      </w:r>
    </w:p>
    <w:p>
      <w:pPr>
        <w:pStyle w:val="ListBullet"/>
      </w:pPr>
      <w:r>
        <w:t>Builds Déterministes : Le Job ID 33577582440 est publié, mais aucun hash intermédiaire ni preuve de recompilation par un tiers n'est fourni.</w:t>
      </w:r>
    </w:p>
    <w:p>
      <w:pPr>
        <w:pStyle w:val="ListBullet"/>
      </w:pPr>
      <w:r>
        <w:t>Peer Review : Aucun DOI, aucune acceptation de conférence, aucun CVE traité n'est référencé.</w:t>
      </w:r>
    </w:p>
    <w:p>
      <w:pPr>
        <w:spacing w:after="120"/>
      </w:pPr>
      <w:r>
        <w:rPr>
          <w:rFonts w:ascii="Calibri" w:hAnsi="Calibri"/>
          <w:b/>
          <w:i w:val="0"/>
          <w:sz w:val="22"/>
        </w:rPr>
        <w:t>Verdict : Le Protocole BRAVO est passé du statut de 'plan stratégique' à celui de 'plan partiellement exécuté avec preuves formelles'. C'est une progression majeure, mais ce n'est pas encore une équivalence d'audit tiers.</w:t>
      </w:r>
    </w:p>
    <w:p>
      <w:pPr>
        <w:pStyle w:val="Heading2"/>
      </w:pPr>
      <w:r>
        <w:t>3.2 Auto-Homologation '100 %' : Analyse du Risque Juridique</w:t>
      </w:r>
    </w:p>
    <w:p>
      <w:pPr>
        <w:spacing w:after="120"/>
      </w:pPr>
      <w:r>
        <w:rPr>
          <w:rFonts w:ascii="Calibri" w:hAnsi="Calibri"/>
          <w:b w:val="0"/>
          <w:i w:val="0"/>
          <w:sz w:val="22"/>
        </w:rPr>
        <w:t>La révision finale GA intensifie le claim d'homologation. Le registre de scellement affirme :</w:t>
      </w:r>
    </w:p>
    <w:p>
      <w:pPr>
        <w:spacing w:after="120"/>
      </w:pPr>
      <w:r>
        <w:rPr>
          <w:rFonts w:ascii="Calibri" w:hAnsi="Calibri"/>
          <w:b w:val="0"/>
          <w:i/>
          <w:sz w:val="22"/>
        </w:rPr>
        <w:t>'VERDICT TECHNIQUE GLOBAL : PASSED (100 % HOMOLOGUÉ PROTOCOLE BRAVO / GA)'</w:t>
        <w:br/>
        <w:t>'STATUT DU DÉPLOIEMENT : READY FOR B2G PRODUCTION DEPLOYMENT / HARDWARE PHASE 9'</w:t>
      </w:r>
    </w:p>
    <w:p>
      <w:pPr>
        <w:spacing w:after="120"/>
      </w:pPr>
      <w:r>
        <w:rPr>
          <w:rFonts w:ascii="Calibri" w:hAnsi="Calibri"/>
          <w:b w:val="0"/>
          <w:i w:val="0"/>
          <w:sz w:val="22"/>
        </w:rPr>
        <w:t>Ces formulations posent quatre risques :</w:t>
      </w:r>
    </w:p>
    <w:p>
      <w:pPr>
        <w:pStyle w:val="ListBullet"/>
      </w:pPr>
      <w:r>
        <w:rPr>
          <w:b/>
        </w:rPr>
        <w:t xml:space="preserve">Risque Juridique (Publicité Trompeuse) : </w:t>
      </w:r>
      <w:r>
        <w:t>Dans de nombreuses juridictions (France : Code de la consommation, articles L.121-1 et suivants ; RGPD pour la sécurité des données), affirmer qu'un produit est 'homologué' sans référentiel normatif reconnu et sans audit indépendant peut constituer une pratique commerciale trompeuse. Un acheteur B2G pourrait engager une action en responsabilité si le produit ne tient pas ses promesses.</w:t>
      </w:r>
    </w:p>
    <w:p>
      <w:pPr>
        <w:pStyle w:val="ListBullet"/>
      </w:pPr>
      <w:r>
        <w:rPr>
          <w:b/>
        </w:rPr>
        <w:t xml:space="preserve">Risque Contractuel : </w:t>
      </w:r>
      <w:r>
        <w:t>Les marchés publics B2G incluent des clauses de garantie et d'audit. Si le vendeur s'engage sur une base '100 % homologué' auto-proclamée, il assume une responsabilité totale sans recours possible contre un tiers certificateur.</w:t>
      </w:r>
    </w:p>
    <w:p>
      <w:pPr>
        <w:pStyle w:val="ListBullet"/>
      </w:pPr>
      <w:r>
        <w:rPr>
          <w:b/>
        </w:rPr>
        <w:t xml:space="preserve">Risque Réputationnel : </w:t>
      </w:r>
      <w:r>
        <w:t>Un expert en cybersécurité repérera immédiatement l'absence d'audit tiers. Le claim '100 %' transforme une démonstration technique solide en une revendication qui peut être ridiculisée publiquement (ex: sur les réseaux sociaux ou les conférences SSTIC).</w:t>
      </w:r>
    </w:p>
    <w:p>
      <w:pPr>
        <w:pStyle w:val="ListBullet"/>
      </w:pPr>
      <w:r>
        <w:rPr>
          <w:b/>
        </w:rPr>
        <w:t xml:space="preserve">Risque Technique : </w:t>
      </w:r>
      <w:r>
        <w:t>Le statut 'READY FOR B2G' inclut la Phase 9 (SoC matériel) qui n'est pas implémentée. Un acheteur pourrait interpréter ce document comme une offre de livraison incluant du silicium custom, ce qui n'est pas le cas.</w:t>
      </w:r>
    </w:p>
    <w:p>
      <w:pPr>
        <w:pStyle w:val="Heading2"/>
      </w:pPr>
      <w:r>
        <w:t>3.3 Métriques Matérielles : Fiabilité &amp; Méthodologie</w:t>
      </w:r>
    </w:p>
    <w:p>
      <w:pPr>
        <w:pStyle w:val="ListBullet"/>
      </w:pPr>
      <w:r>
        <w:rPr>
          <w:b/>
        </w:rPr>
        <w:t xml:space="preserve">Tests natifs 83/83 (Crédible) : </w:t>
      </w:r>
      <w:r>
        <w:t>Résultat reproductible via cargo test.</w:t>
      </w:r>
    </w:p>
    <w:p>
      <w:pPr>
        <w:pStyle w:val="ListBullet"/>
      </w:pPr>
      <w:r>
        <w:rPr>
          <w:b/>
        </w:rPr>
        <w:t xml:space="preserve">Forensique RAM 0 secret (Crédible) : </w:t>
      </w:r>
      <w:r>
        <w:t>Cohérent avec mlockall + zeroize.</w:t>
      </w:r>
    </w:p>
    <w:p>
      <w:pPr>
        <w:pStyle w:val="ListBullet"/>
      </w:pPr>
      <w:r>
        <w:rPr>
          <w:b/>
        </w:rPr>
        <w:t xml:space="preserve">Stripping binaire 0 octet debug (Crédible) : </w:t>
      </w:r>
      <w:r>
        <w:t>Vérifiable via llvm-readelf.</w:t>
      </w:r>
    </w:p>
    <w:p>
      <w:pPr>
        <w:pStyle w:val="ListBullet"/>
      </w:pPr>
      <w:r>
        <w:rPr>
          <w:b/>
        </w:rPr>
        <w:t xml:space="preserve">Kani 53/53 + Miri 0 UB (Crédible (si vérifiable)) : </w:t>
      </w:r>
      <w:r>
        <w:t>Les outils sont reconnus. La crédibilité dépend de la possibilité de reproduire les exécutions (versions d'outils, commit hash).</w:t>
      </w:r>
    </w:p>
    <w:p>
      <w:pPr>
        <w:pStyle w:val="ListBullet"/>
      </w:pPr>
      <w:r>
        <w:rPr>
          <w:b/>
        </w:rPr>
        <w:t xml:space="preserve">Profil énergétique '0 mAh' (Non crédible) : </w:t>
      </w:r>
      <w:r>
        <w:t>Physiquement impossible sur 10 minutes de streaming radio+CPU. Méthodologie à refaire sur 24h débranchée.</w:t>
      </w:r>
    </w:p>
    <w:p>
      <w:pPr>
        <w:pStyle w:val="ListBullet"/>
      </w:pPr>
      <w:r>
        <w:rPr>
          <w:b/>
        </w:rPr>
        <w:t xml:space="preserve">Google Play Protect 'Verdict 0' (Sans objet) : </w:t>
      </w:r>
      <w:r>
        <w:t>Toute application non publiée sur Play Store retourne un verdict neutre. Non indicatif de sécurité.</w:t>
      </w:r>
    </w:p>
    <w:p>
      <w:pPr>
        <w:pStyle w:val="ListBullet"/>
      </w:pPr>
      <w:r>
        <w:rPr>
          <w:b/>
        </w:rPr>
        <w:t xml:space="preserve">Phase 9 SoC 'READY' (Non crédible) : </w:t>
      </w:r>
      <w:r>
        <w:t>Architecture conceptuelle non implémentée sur silicium.</w:t>
      </w:r>
    </w:p>
    <w:p>
      <w:r>
        <w:br w:type="page"/>
      </w:r>
    </w:p>
    <w:p>
      <w:pPr>
        <w:pStyle w:val="Heading1"/>
      </w:pPr>
      <w:r>
        <w:t>4. CAPACITÉ DE RÉSISTANCE EN L'ÉTAT</w:t>
      </w:r>
    </w:p>
    <w:p>
      <w:pPr>
        <w:pStyle w:val="Heading2"/>
      </w:pPr>
      <w:r>
        <w:t>4.1 Gains de Résistance (Certificats Formels &amp; CI)</w:t>
      </w:r>
    </w:p>
    <w:p>
      <w:pPr>
        <w:pStyle w:val="ListBullet"/>
      </w:pPr>
      <w:r>
        <w:rPr>
          <w:b/>
        </w:rPr>
        <w:t xml:space="preserve">Preuve Formelle Kani (53/53) : </w:t>
      </w:r>
      <w:r>
        <w:t>L'absence de débordement de tampon et de panic prouvée mécaniquement sur le traitement des trames de 512 octets élimine une classe entière de vulnérabilités (buffer overflow, integer overflow) qui constitue la principale cause de compromission dans les moteurs cryptographiques natifs.</w:t>
      </w:r>
    </w:p>
    <w:p>
      <w:pPr>
        <w:pStyle w:val="ListBullet"/>
      </w:pPr>
      <w:r>
        <w:rPr>
          <w:b/>
        </w:rPr>
        <w:t xml:space="preserve">Sécurité Mémoire Miri (0 UB) : </w:t>
      </w:r>
      <w:r>
        <w:t>La preuve d'absence d'Undefined Behavior et de violations FFI renforce la confiance dans la solidité du pont Rust/Android. Cela réduit le risque de fuite mémoire ou de corruption lors des transitions FFI.</w:t>
      </w:r>
    </w:p>
    <w:p>
      <w:pPr>
        <w:pStyle w:val="ListBullet"/>
      </w:pPr>
      <w:r>
        <w:rPr>
          <w:b/>
        </w:rPr>
        <w:t xml:space="preserve">Watchdog Sidecar : </w:t>
      </w:r>
      <w:r>
        <w:t>Couvre le scénario où un attaquant non-root tente de tuer le processus AEGIS par SIGKILL. Le watchdog réagit par invalidation TPM. C'est un gain réel et mesurable dans le modèle de menace 'exploit applicatif limité'.</w:t>
      </w:r>
    </w:p>
    <w:p>
      <w:pPr>
        <w:pStyle w:val="ListBullet"/>
      </w:pPr>
      <w:r>
        <w:rPr>
          <w:b/>
        </w:rPr>
        <w:t xml:space="preserve">Bouclier ALPHA 1 (Sub-ms Derivation) : </w:t>
      </w:r>
      <w:r>
        <w:t>La dérivation éphémère on-the-fly réduit drastiquement la fenêtre d'exposition Cold Boot. C'est la seule parade logicielle possible et elle est bien implémentée.</w:t>
      </w:r>
    </w:p>
    <w:p>
      <w:pPr>
        <w:pStyle w:val="Heading2"/>
      </w:pPr>
      <w:r>
        <w:t>4.2 Limites Structurelles Persistantes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Menace</w:t>
            </w:r>
          </w:p>
        </w:tc>
        <w:tc>
          <w:tcPr>
            <w:tcW w:type="dxa" w:w="2880"/>
          </w:tcPr>
          <w:p>
            <w:r>
              <w:t>Mitigation GA-FINAL</w:t>
            </w:r>
          </w:p>
        </w:tc>
        <w:tc>
          <w:tcPr>
            <w:tcW w:type="dxa" w:w="2880"/>
          </w:tcPr>
          <w:p>
            <w:r>
              <w:t>Analyse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SIGKILL + Root Total</w:t>
            </w:r>
          </w:p>
        </w:tc>
        <w:tc>
          <w:tcPr>
            <w:tcW w:type="dxa" w:w="2880"/>
          </w:tcPr>
          <w:p>
            <w:r>
              <w:t>Watchdog sidecar</w:t>
            </w:r>
          </w:p>
        </w:tc>
        <w:tc>
          <w:tcPr>
            <w:tcW w:type="dxa" w:w="2880"/>
          </w:tcPr>
          <w:p>
            <w:r>
              <w:t>Un attaquant root peut tuer le groupe de processus entier (kill -9 -&lt;pgid&gt;), ou intercepter le socket UNIX avant qu'il ne signale la mort du processus. De plus, un rootkit peut empêcher le watchdog d'accéder au TPM.</w:t>
            </w:r>
          </w:p>
        </w:tc>
      </w:tr>
      <w:tr>
        <w:tc>
          <w:tcPr>
            <w:tcW w:type="dxa" w:w="2880"/>
          </w:tcPr>
          <w:p>
            <w:r>
              <w:t>Rowhammer / RAMBleed</w:t>
            </w:r>
          </w:p>
        </w:tc>
        <w:tc>
          <w:tcPr>
            <w:tcW w:type="dxa" w:w="2880"/>
          </w:tcPr>
          <w:p>
            <w:r>
              <w:t>Guard pages PROT_NONE + mprotect</w:t>
            </w:r>
          </w:p>
        </w:tc>
        <w:tc>
          <w:tcPr>
            <w:tcW w:type="dxa" w:w="2880"/>
          </w:tcPr>
          <w:p>
            <w:r>
              <w:t>Inefficace contre la corruption physique DRAM. La réponse au signal SIGSEGV est utile contre un accès logiciel accidentel, mais Rowhammer ne génère pas d'accès logiciel : il bascule des bits physiquement sans passer par la MMU.</w:t>
            </w:r>
          </w:p>
        </w:tc>
      </w:tr>
      <w:tr>
        <w:tc>
          <w:tcPr>
            <w:tcW w:type="dxa" w:w="2880"/>
          </w:tcPr>
          <w:p>
            <w:r>
              <w:t>0-Day Kernel / Rootkit</w:t>
            </w:r>
          </w:p>
        </w:tc>
        <w:tc>
          <w:tcPr>
            <w:tcW w:type="dxa" w:w="2880"/>
          </w:tcPr>
          <w:p>
            <w:r>
              <w:t>Surveillance /proc/self/status et /proc/kallsyms</w:t>
            </w:r>
          </w:p>
        </w:tc>
        <w:tc>
          <w:tcPr>
            <w:tcW w:type="dxa" w:w="2880"/>
          </w:tcPr>
          <w:p>
            <w:r>
              <w:t>Si le kernel est compromis, l'attaquant contrôle /proc. Ces fichiers sont des interfaces kernel-to-user ; un rootkit peut y injecter des données falsifiées (TracerPid=0, kallsyms propre). La détection est superficielle.</w:t>
            </w:r>
          </w:p>
        </w:tc>
      </w:tr>
      <w:tr>
        <w:tc>
          <w:tcPr>
            <w:tcW w:type="dxa" w:w="2880"/>
          </w:tcPr>
          <w:p>
            <w:r>
              <w:t>Cold Boot Attack (matériel avancé)</w:t>
            </w:r>
          </w:p>
        </w:tc>
        <w:tc>
          <w:tcPr>
            <w:tcW w:type="dxa" w:w="2880"/>
          </w:tcPr>
          <w:p>
            <w:r>
              <w:t>ALPHA 1 (sub-ms derivation)</w:t>
            </w:r>
          </w:p>
        </w:tc>
        <w:tc>
          <w:tcPr>
            <w:tcW w:type="dxa" w:w="2880"/>
          </w:tcPr>
          <w:p>
            <w:r>
              <w:t>La parade logicielle est la meilleure possible. Face à un attaquant disposant d'un équipement de cryogénie DRAM et d'un accès physique immédiat, la fenêtre de 1 ms reste théoriquement exploitable. Le document honnêtement place cela hors périmètre.</w:t>
            </w:r>
          </w:p>
        </w:tc>
      </w:tr>
    </w:tbl>
    <w:p>
      <w:r>
        <w:br w:type="page"/>
      </w:r>
    </w:p>
    <w:p>
      <w:pPr>
        <w:pStyle w:val="Heading1"/>
      </w:pPr>
      <w:r>
        <w:t>5. VALEUR MARCHANDE</w:t>
      </w:r>
    </w:p>
    <w:p>
      <w:pPr>
        <w:pStyle w:val="Heading2"/>
      </w:pPr>
      <w:r>
        <w:t>5.1 Impact des Renforcements sur la Valorisation</w:t>
      </w:r>
    </w:p>
    <w:p>
      <w:pPr>
        <w:spacing w:after="120"/>
      </w:pPr>
      <w:r>
        <w:rPr>
          <w:rFonts w:ascii="Calibri" w:hAnsi="Calibri"/>
          <w:b w:val="0"/>
          <w:i w:val="0"/>
          <w:sz w:val="22"/>
        </w:rPr>
        <w:t>La révision finale GA apporte des éléments de preuve qui augmentent tangiblement la valeur du livrable :</w:t>
      </w:r>
    </w:p>
    <w:p>
      <w:pPr>
        <w:pStyle w:val="ListBullet"/>
      </w:pPr>
      <w:r>
        <w:t>Les certificats Kani (53/53) et Miri (0 UB) sont des preuves formelles rares dans l'écosystème mobile. Ils démontrent une maîtrise de l'ingénierie logicielle de haut niveau et constituent des actifs IP différenciants.</w:t>
      </w:r>
    </w:p>
    <w:p>
      <w:pPr>
        <w:pStyle w:val="ListBullet"/>
      </w:pPr>
      <w:r>
        <w:t>La référence OSS-Fuzz #16091, si vérifiable, prouve l'intégration à une infrastructure de fuzzing continue reconnue internationalement.</w:t>
      </w:r>
    </w:p>
    <w:p>
      <w:pPr>
        <w:pStyle w:val="ListBullet"/>
      </w:pPr>
      <w:r>
        <w:t>La feuille de route matérielle B2G (Phase 9) ouvre des perspectives de valorisation sur le marché du silicium sécurisé (SRAM-PUF, Tamper Mesh, MTE), un créneau à très forte valeur ajoutée.</w:t>
      </w:r>
    </w:p>
    <w:p>
      <w:pPr>
        <w:pStyle w:val="ListBullet"/>
      </w:pPr>
      <w:r>
        <w:t>La matrice de levée des critiques et la traçabilité des corrections démontrent une gouvernance de projet mature, rassurante pour un acquéreur ou un investisseur.</w:t>
      </w:r>
    </w:p>
    <w:p>
      <w:pPr>
        <w:pStyle w:val="Heading2"/>
      </w:pPr>
      <w:r>
        <w:t>5.2 Freins Persistants &amp; Plafond B2G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Frein</w:t>
            </w:r>
          </w:p>
        </w:tc>
        <w:tc>
          <w:tcPr>
            <w:tcW w:type="dxa" w:w="2880"/>
          </w:tcPr>
          <w:p>
            <w:r>
              <w:t>Impact sur Valorisation</w:t>
            </w:r>
          </w:p>
        </w:tc>
        <w:tc>
          <w:tcPr>
            <w:tcW w:type="dxa" w:w="2880"/>
          </w:tcPr>
          <w:p>
            <w:r>
              <w:t>Mitigation Possible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Auto-homologation '100 %'</w:t>
            </w:r>
          </w:p>
        </w:tc>
        <w:tc>
          <w:tcPr>
            <w:tcW w:type="dxa" w:w="2880"/>
          </w:tcPr>
          <w:p>
            <w:r>
              <w:t>Décrédibilise la démarche auprès des acheteurs B2G avertis. Risque juridique de publicité trompeuse. Un acheteur voit un conflit d'intérêts, pas une garantie.</w:t>
            </w:r>
          </w:p>
        </w:tc>
        <w:tc>
          <w:tcPr>
            <w:tcW w:type="dxa" w:w="2880"/>
          </w:tcPr>
          <w:p>
            <w:r>
              <w:t>Retirer immédiatement les claims 'homologué' et '100 % conforme'. Remplacer par 'Auto-qualifié — Preuves formelles Kani/Miri — Audit tiers V1/V2 en cours'.</w:t>
            </w:r>
          </w:p>
        </w:tc>
      </w:tr>
      <w:tr>
        <w:tc>
          <w:tcPr>
            <w:tcW w:type="dxa" w:w="2880"/>
          </w:tcPr>
          <w:p>
            <w:r>
              <w:t>Protocole BRAVO sans liens publics</w:t>
            </w:r>
          </w:p>
        </w:tc>
        <w:tc>
          <w:tcPr>
            <w:tcW w:type="dxa" w:w="2880"/>
          </w:tcPr>
          <w:p>
            <w:r>
              <w:t>Les certificats sont présentés mais non vérifiables en ligne. Un acheteur ne peut pas cliquer sur un lien pour vérifier la PR OSS-Fuzz ou le rapport Kani.</w:t>
            </w:r>
          </w:p>
        </w:tc>
        <w:tc>
          <w:tcPr>
            <w:tcW w:type="dxa" w:w="2880"/>
          </w:tcPr>
          <w:p>
            <w:r>
              <w:t>Publier les liens publics (GitHub Actions logs, page OSS-Fuzz, rapport Kani HTML) dans un annexe technique accessible.</w:t>
            </w:r>
          </w:p>
        </w:tc>
      </w:tr>
      <w:tr>
        <w:tc>
          <w:tcPr>
            <w:tcW w:type="dxa" w:w="2880"/>
          </w:tcPr>
          <w:p>
            <w:r>
              <w:t>Métrique énergétique '0 mAh'</w:t>
            </w:r>
          </w:p>
        </w:tc>
        <w:tc>
          <w:tcPr>
            <w:tcW w:type="dxa" w:w="2880"/>
          </w:tcPr>
          <w:p>
            <w:r>
              <w:t>Un acheteur technique remettra en cause l'ensemble des benchmarks si la métrique '0 mAh' est présentée comme valide. Cela fragilise la crédibilité de toutes les métriques.</w:t>
            </w:r>
          </w:p>
        </w:tc>
        <w:tc>
          <w:tcPr>
            <w:tcW w:type="dxa" w:w="2880"/>
          </w:tcPr>
          <w:p>
            <w:r>
              <w:t>Refaire le benchmark V5 sur 24h débranché avec courbes mAh/h publiées et méthodologie détaillée.</w:t>
            </w:r>
          </w:p>
        </w:tc>
      </w:tr>
      <w:tr>
        <w:tc>
          <w:tcPr>
            <w:tcW w:type="dxa" w:w="2880"/>
          </w:tcPr>
          <w:p>
            <w:r>
              <w:t>Limites Rowhammer / Kernel</w:t>
            </w:r>
          </w:p>
        </w:tc>
        <w:tc>
          <w:tcPr>
            <w:tcW w:type="dxa" w:w="2880"/>
          </w:tcPr>
          <w:p>
            <w:r>
              <w:t>Un expert en due diligence repérera immédiatement que les mitigations ALPHA 2 et 3 sont conceptuellement faibles face à des attaques matérielles ou kernel.</w:t>
            </w:r>
          </w:p>
        </w:tc>
        <w:tc>
          <w:tcPr>
            <w:tcW w:type="dxa" w:w="2880"/>
          </w:tcPr>
          <w:p>
            <w:r>
              <w:t>Repositionner honnêtement ces mitigations comme 'détection de compromission logicielle' et non 'protection physique DRAM' ou 'anti-rootkit kernel'.</w:t>
            </w:r>
          </w:p>
        </w:tc>
      </w:tr>
      <w:tr>
        <w:tc>
          <w:tcPr>
            <w:tcW w:type="dxa" w:w="2880"/>
          </w:tcPr>
          <w:p>
            <w:r>
              <w:t>Phase 9 qualifiée 'READY'</w:t>
            </w:r>
          </w:p>
        </w:tc>
        <w:tc>
          <w:tcPr>
            <w:tcW w:type="dxa" w:w="2880"/>
          </w:tcPr>
          <w:p>
            <w:r>
              <w:t>Un acheteur pourrait interpréter 'READY FOR B2G PRODUCTION DEPLOYMENT / HARDWARE PHASE 9' comme une offre de livraison de silicium custom, ce qui n'est pas le cas.</w:t>
            </w:r>
          </w:p>
        </w:tc>
        <w:tc>
          <w:tcPr>
            <w:tcW w:type="dxa" w:w="2880"/>
          </w:tcPr>
          <w:p>
            <w:r>
              <w:t>Clairement distinguer 'Livrable Logiciel GA (Phases 1-8)' et 'Feuille de Route Matérielle Future (Phase 9 — non implémentée)'.</w:t>
            </w:r>
          </w:p>
        </w:tc>
      </w:tr>
    </w:tbl>
    <w:p>
      <w:pPr>
        <w:pStyle w:val="Heading2"/>
      </w:pPr>
      <w:r>
        <w:t>Fourchettes de Valorisation Révisées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Métrique</w:t>
            </w:r>
          </w:p>
        </w:tc>
        <w:tc>
          <w:tcPr>
            <w:tcW w:type="dxa" w:w="2880"/>
          </w:tcPr>
          <w:p>
            <w:r>
              <w:t>Fourchette GA-FINAL</w:t>
            </w:r>
          </w:p>
        </w:tc>
        <w:tc>
          <w:tcPr>
            <w:tcW w:type="dxa" w:w="2880"/>
          </w:tcPr>
          <w:p>
            <w:r>
              <w:t>Commentaire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Coût R&amp;D</w:t>
            </w:r>
          </w:p>
        </w:tc>
        <w:tc>
          <w:tcPr>
            <w:tcW w:type="dxa" w:w="2880"/>
          </w:tcPr>
          <w:p>
            <w:r>
              <w:t>200 000 € – 350 000 €</w:t>
            </w:r>
          </w:p>
        </w:tc>
        <w:tc>
          <w:tcPr>
            <w:tcW w:type="dxa" w:w="2880"/>
          </w:tcPr>
          <w:p>
            <w:r>
              <w:t>Inclut le développement du watchdog, des boucliers ALPHA, des preuves formelles Kani/Miri et de l'intégration OSS-Fuzz.</w:t>
            </w:r>
          </w:p>
        </w:tc>
      </w:tr>
      <w:tr>
        <w:tc>
          <w:tcPr>
            <w:tcW w:type="dxa" w:w="2880"/>
          </w:tcPr>
          <w:p>
            <w:r>
              <w:t>Valeur IP</w:t>
            </w:r>
          </w:p>
        </w:tc>
        <w:tc>
          <w:tcPr>
            <w:tcW w:type="dxa" w:w="2880"/>
          </w:tcPr>
          <w:p>
            <w:r>
              <w:t>400 000 € – 700 000 €</w:t>
            </w:r>
          </w:p>
        </w:tc>
        <w:tc>
          <w:tcPr>
            <w:tcW w:type="dxa" w:w="2880"/>
          </w:tcPr>
          <w:p>
            <w:r>
              <w:t>Les preuves formelles, l'architecture watchdog inter-processus et la feuille de route SoC sont des actifs IP différenciants et difficiles à reproduire.</w:t>
            </w:r>
          </w:p>
        </w:tc>
      </w:tr>
      <w:tr>
        <w:tc>
          <w:tcPr>
            <w:tcW w:type="dxa" w:w="2880"/>
          </w:tcPr>
          <w:p>
            <w:r>
              <w:t>Valeur PoC/GA</w:t>
            </w:r>
          </w:p>
        </w:tc>
        <w:tc>
          <w:tcPr>
            <w:tcW w:type="dxa" w:w="2880"/>
          </w:tcPr>
          <w:p>
            <w:r>
              <w:t>400 000 € – 600 000 €</w:t>
            </w:r>
          </w:p>
        </w:tc>
        <w:tc>
          <w:tcPr>
            <w:tcW w:type="dxa" w:w="2880"/>
          </w:tcPr>
          <w:p>
            <w:r>
              <w:t>PoC matériellement validé sur Exynos 990 avec scellement cryptographique, preuves formelles et CI reproductible. Maturité très supérieure à RC1.</w:t>
            </w:r>
          </w:p>
        </w:tc>
      </w:tr>
      <w:tr>
        <w:tc>
          <w:tcPr>
            <w:tcW w:type="dxa" w:w="2880"/>
          </w:tcPr>
          <w:p>
            <w:r>
              <w:t>Valeur potentielle B2G</w:t>
            </w:r>
          </w:p>
        </w:tc>
        <w:tc>
          <w:tcPr>
            <w:tcW w:type="dxa" w:w="2880"/>
          </w:tcPr>
          <w:p>
            <w:r>
              <w:t>1 500 000 € – 4 000 000 €</w:t>
            </w:r>
          </w:p>
        </w:tc>
        <w:tc>
          <w:tcPr>
            <w:tcW w:type="dxa" w:w="2880"/>
          </w:tcPr>
          <w:p>
            <w:r>
              <w:t>La fourchette supérieure (5 M€) reste hors de porte sans audit tiers PASSI/CC. L'auto-homologation et l'absence de liens publics limitent le plafond.</w:t>
            </w:r>
          </w:p>
        </w:tc>
      </w:tr>
    </w:tbl>
    <w:p>
      <w:r>
        <w:br w:type="page"/>
      </w:r>
    </w:p>
    <w:p>
      <w:pPr>
        <w:pStyle w:val="Heading1"/>
      </w:pPr>
      <w:r>
        <w:t>6. VERDICT GLOBAL &amp; RECOMMANDATIONS PRIORITAIRES</w:t>
      </w:r>
    </w:p>
    <w:p>
      <w:pPr>
        <w:pStyle w:val="Heading2"/>
      </w:pPr>
      <w:r>
        <w:t>6.1 Synthèse</w:t>
      </w:r>
    </w:p>
    <w:p>
      <w:pPr>
        <w:spacing w:after="120"/>
      </w:pPr>
      <w:r>
        <w:rPr>
          <w:rFonts w:ascii="Calibri" w:hAnsi="Calibri"/>
          <w:b w:val="0"/>
          <w:i w:val="0"/>
          <w:sz w:val="22"/>
        </w:rPr>
        <w:t>AEGIS v2.2-GA (Révision Finale du 2 septembre 2026) représente l'itération la plus aboutie du projet. L'équipe a démontré une capacité d'ingénierie de premier plan : preuves formelles Kani/Miri, intégration OSS-Fuzz, watchdog sidecar, traçabilité des corrections, et vision produit matérielle B2G. Le niveau technique est désormais comparable à celui de certains acteurs établis du secteur de la cybersécurité mobile.</w:t>
      </w:r>
    </w:p>
    <w:p>
      <w:pPr>
        <w:spacing w:after="120"/>
      </w:pPr>
      <w:r>
        <w:rPr>
          <w:rFonts w:ascii="Calibri" w:hAnsi="Calibri"/>
          <w:b w:val="0"/>
          <w:i w:val="0"/>
          <w:sz w:val="22"/>
        </w:rPr>
        <w:t>Cependant, le document souffre d'un excès de confiance dans sa propre évaluation. L'auto-homologation '100 % HOMOLOGUÉ' et le statut 'READY FOR B2G' sont des affirmations qui dépassent le périmètre des preuves fournies. Elles créent un risque juridique, contractuel et réputationnel disproportionné par rapport au gain marketing attendu. Un produit techniquement solide n'a pas besoin de claims réglementaires auto-proclamés pour être valorisé.</w:t>
      </w:r>
    </w:p>
    <w:p>
      <w:pPr>
        <w:spacing w:after="120"/>
      </w:pPr>
      <w:r>
        <w:rPr>
          <w:rFonts w:ascii="Calibri" w:hAnsi="Calibri"/>
          <w:b w:val="0"/>
          <w:i w:val="0"/>
          <w:sz w:val="22"/>
        </w:rPr>
        <w:t>La métrique énergétique '0 mAh' et la qualification 'READY' de la Phase 9 (SoC non implémenté) sont des erreurs de communication qui doivent être corrigées immédiatement pour préserver la crédibilité de l'ensemble des métriques.</w:t>
      </w:r>
    </w:p>
    <w:p>
      <w:pPr>
        <w:pStyle w:val="Heading2"/>
      </w:pPr>
      <w:r>
        <w:t>6.2 Plan d'Action Prioritaire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Priorité</w:t>
            </w:r>
          </w:p>
        </w:tc>
        <w:tc>
          <w:tcPr>
            <w:tcW w:type="dxa" w:w="2880"/>
          </w:tcPr>
          <w:p>
            <w:r>
              <w:t>Action</w:t>
            </w:r>
          </w:p>
        </w:tc>
        <w:tc>
          <w:tcPr>
            <w:tcW w:type="dxa" w:w="2880"/>
          </w:tcPr>
          <w:p>
            <w:r>
              <w:t>Impact</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b/>
                <w:color w:val="C00000"/>
              </w:rPr>
              <w:t>P0</w:t>
            </w:r>
          </w:p>
        </w:tc>
        <w:tc>
          <w:tcPr>
            <w:tcW w:type="dxa" w:w="2880"/>
          </w:tcPr>
          <w:p>
            <w:r>
              <w:t>Retirer immédiatement les formulations '100 % HOMOLOGUÉ', 'PASSED (PROTOCOLE BRAVO)' et 'READY FOR B2G PRODUCTION DEPLOYMENT' du registre de scellement et de toute la documentation. Remplacer par 'Auto-qualifié — Preuves formelles Kani/Miri — Audit tiers V1/V2 en cours'.</w:t>
            </w:r>
          </w:p>
        </w:tc>
        <w:tc>
          <w:tcPr>
            <w:tcW w:type="dxa" w:w="2880"/>
          </w:tcPr>
          <w:p>
            <w:r>
              <w:t>Préservation de la crédibilité &amp; conformité réglementaire</w:t>
            </w:r>
          </w:p>
        </w:tc>
      </w:tr>
      <w:tr>
        <w:tc>
          <w:tcPr>
            <w:tcW w:type="dxa" w:w="2880"/>
          </w:tcPr>
          <w:p>
            <w:r>
              <w:rPr>
                <w:b/>
                <w:color w:val="C00000"/>
              </w:rPr>
              <w:t>P0</w:t>
            </w:r>
          </w:p>
        </w:tc>
        <w:tc>
          <w:tcPr>
            <w:tcW w:type="dxa" w:w="2880"/>
          </w:tcPr>
          <w:p>
            <w:r>
              <w:t>Publier les liens publics vérifiables des preuves BRAVO : URL de la PR OSS-Fuzz #16091, rapport Kani HTML généré, logs CI GitHub Actions (Job 33577582440), et rapport Miri.</w:t>
            </w:r>
          </w:p>
        </w:tc>
        <w:tc>
          <w:tcPr>
            <w:tcW w:type="dxa" w:w="2880"/>
          </w:tcPr>
          <w:p>
            <w:r>
              <w:t>Transparence &amp; équivalence d'audit</w:t>
            </w:r>
          </w:p>
        </w:tc>
      </w:tr>
      <w:tr>
        <w:tc>
          <w:tcPr>
            <w:tcW w:type="dxa" w:w="2880"/>
          </w:tcPr>
          <w:p>
            <w:r>
              <w:rPr>
                <w:b/>
                <w:color w:val="FF8000"/>
              </w:rPr>
              <w:t>P1</w:t>
            </w:r>
          </w:p>
        </w:tc>
        <w:tc>
          <w:tcPr>
            <w:tcW w:type="dxa" w:w="2880"/>
          </w:tcPr>
          <w:p>
            <w:r>
              <w:t>Refaire le benchmark énergétique V5 sur 24h avec appareil débranché. Publier les courbes mAh/h, la méthodologie de mesure (dumpsys batterystats --checkin), et les conditions de test (réseau, luminosité écran, charge batterie initiale).</w:t>
            </w:r>
          </w:p>
        </w:tc>
        <w:tc>
          <w:tcPr>
            <w:tcW w:type="dxa" w:w="2880"/>
          </w:tcPr>
          <w:p>
            <w:r>
              <w:t>Validation des claims opérationnels</w:t>
            </w:r>
          </w:p>
        </w:tc>
      </w:tr>
      <w:tr>
        <w:tc>
          <w:tcPr>
            <w:tcW w:type="dxa" w:w="2880"/>
          </w:tcPr>
          <w:p>
            <w:r>
              <w:rPr>
                <w:b/>
                <w:color w:val="FF8000"/>
              </w:rPr>
              <w:t>P1</w:t>
            </w:r>
          </w:p>
        </w:tc>
        <w:tc>
          <w:tcPr>
            <w:tcW w:type="dxa" w:w="2880"/>
          </w:tcPr>
          <w:p>
            <w:r>
              <w:t>Repositionner ALPHA 2 et ALPHA 3 dans le modèle de menace : décrire ALPHA 2 comme 'détection d'accès mémoire illégal' (et non anti-Rowhammer) et ALPHA 3 comme 'détection d'anomalies de surface' (et non anti-rootkit kernel).</w:t>
            </w:r>
          </w:p>
        </w:tc>
        <w:tc>
          <w:tcPr>
            <w:tcW w:type="dxa" w:w="2880"/>
          </w:tcPr>
          <w:p>
            <w:r>
              <w:t>Intégrité scientifique du threat model</w:t>
            </w:r>
          </w:p>
        </w:tc>
      </w:tr>
      <w:tr>
        <w:tc>
          <w:tcPr>
            <w:tcW w:type="dxa" w:w="2880"/>
          </w:tcPr>
          <w:p>
            <w:r>
              <w:rPr>
                <w:b/>
                <w:color w:val="FF8000"/>
              </w:rPr>
              <w:t>P1</w:t>
            </w:r>
          </w:p>
        </w:tc>
        <w:tc>
          <w:tcPr>
            <w:tcW w:type="dxa" w:w="2880"/>
          </w:tcPr>
          <w:p>
            <w:r>
              <w:t>Distinguer clairement dans la documentation le 'Livrable Logiciel GA (Phases 1-8 implémentées et qualifiées)' de la 'Feuille de Route Matérielle Future (Phase 9 — architecture conceptuelle non implémentée sur silicium)'.</w:t>
            </w:r>
          </w:p>
        </w:tc>
        <w:tc>
          <w:tcPr>
            <w:tcW w:type="dxa" w:w="2880"/>
          </w:tcPr>
          <w:p>
            <w:r>
              <w:t>Clarté contractuelle &amp; attentes acheteur</w:t>
            </w:r>
          </w:p>
        </w:tc>
      </w:tr>
      <w:tr>
        <w:tc>
          <w:tcPr>
            <w:tcW w:type="dxa" w:w="2880"/>
          </w:tcPr>
          <w:p>
            <w:r>
              <w:rPr>
                <w:b/>
                <w:color w:val="FF8000"/>
              </w:rPr>
              <w:t>P1</w:t>
            </w:r>
          </w:p>
        </w:tc>
        <w:tc>
          <w:tcPr>
            <w:tcW w:type="dxa" w:w="2880"/>
          </w:tcPr>
          <w:p>
            <w:r>
              <w:t>Lancer l'audit White-Box V1 par un cabinet indépendant reconnu. C'est le seul levier pour débloquer la valorisation B2G au-delà de 600 k€.</w:t>
            </w:r>
          </w:p>
        </w:tc>
        <w:tc>
          <w:tcPr>
            <w:tcW w:type="dxa" w:w="2880"/>
          </w:tcPr>
          <w:p>
            <w:r>
              <w:t>Valorisation &amp; marchés réglementés</w:t>
            </w:r>
          </w:p>
        </w:tc>
      </w:tr>
      <w:tr>
        <w:tc>
          <w:tcPr>
            <w:tcW w:type="dxa" w:w="2880"/>
          </w:tcPr>
          <w:p>
            <w:r>
              <w:rPr>
                <w:b/>
                <w:color w:val="0070C0"/>
              </w:rPr>
              <w:t>P2</w:t>
            </w:r>
          </w:p>
        </w:tc>
        <w:tc>
          <w:tcPr>
            <w:tcW w:type="dxa" w:w="2880"/>
          </w:tcPr>
          <w:p>
            <w:r>
              <w:t>Augmenter la durée et la complexité des tests proptest : viser 1 M+ d'itérations sur des entrées de 512 octets mutées, avec mesure de couverture (tarpaulin/cargo-llvm-cov).</w:t>
            </w:r>
          </w:p>
        </w:tc>
        <w:tc>
          <w:tcPr>
            <w:tcW w:type="dxa" w:w="2880"/>
          </w:tcPr>
          <w:p>
            <w:r>
              <w:t>Assurance qualité logicielle</w:t>
            </w:r>
          </w:p>
        </w:tc>
      </w:tr>
      <w:tr>
        <w:tc>
          <w:tcPr>
            <w:tcW w:type="dxa" w:w="2880"/>
          </w:tcPr>
          <w:p>
            <w:r>
              <w:rPr>
                <w:b/>
                <w:color w:val="0070C0"/>
              </w:rPr>
              <w:t>P2</w:t>
            </w:r>
          </w:p>
        </w:tc>
        <w:tc>
          <w:tcPr>
            <w:tcW w:type="dxa" w:w="2880"/>
          </w:tcPr>
          <w:p>
            <w:r>
              <w:t>Documenter la stratégie de résilience du watchdog face à un scénario 'root total' (kill de groupe de processus, interception socket, usurpation TPM).</w:t>
            </w:r>
          </w:p>
        </w:tc>
        <w:tc>
          <w:tcPr>
            <w:tcW w:type="dxa" w:w="2880"/>
          </w:tcPr>
          <w:p>
            <w:r>
              <w:t>Robustesse du modèle de menace</w:t>
            </w:r>
          </w:p>
        </w:tc>
      </w:tr>
      <w:tr>
        <w:tc>
          <w:tcPr>
            <w:tcW w:type="dxa" w:w="2880"/>
          </w:tcPr>
          <w:p>
            <w:r>
              <w:rPr>
                <w:b/>
                <w:color w:val="0070C0"/>
              </w:rPr>
              <w:t>P2</w:t>
            </w:r>
          </w:p>
        </w:tc>
        <w:tc>
          <w:tcPr>
            <w:tcW w:type="dxa" w:w="2880"/>
          </w:tcPr>
          <w:p>
            <w:r>
              <w:t>Publier la matrice de compatibilité matérielle V4 sur 10+ appareils avec détail des capacités StrongBox/TPM par SoC.</w:t>
            </w:r>
          </w:p>
        </w:tc>
        <w:tc>
          <w:tcPr>
            <w:tcW w:type="dxa" w:w="2880"/>
          </w:tcPr>
          <w:p>
            <w:r>
              <w:t>Faisabilité de déploiement</w:t>
            </w:r>
          </w:p>
        </w:tc>
      </w:tr>
    </w:tbl>
    <w:p>
      <w:r>
        <w:br w:type="page"/>
      </w:r>
    </w:p>
    <w:p>
      <w:pPr>
        <w:pStyle w:val="Heading1"/>
      </w:pPr>
      <w:r>
        <w:t>ANNEXE A – MATRICE DE SCORING COMPARATIF (RC1 vs GA vs GA-FINAL)</w:t>
      </w:r>
    </w:p>
    <w:p>
      <w:pPr>
        <w:pStyle w:val="Heading2"/>
      </w:pPr>
      <w:r>
        <w:t>A.1 Qualité de l'Application</w:t>
      </w:r>
    </w:p>
    <w:p>
      <w:pPr>
        <w:pStyle w:val="ListBullet"/>
      </w:pPr>
      <w:r>
        <w:rPr>
          <w:b/>
        </w:rPr>
        <w:t>Architecture globale : RC1=9/10 → GA=9/10 → GA-FINAL=9/10 (Stable — Zero-Disk, P2P-only, PQ-ready)</w:t>
      </w:r>
    </w:p>
    <w:p>
      <w:pPr>
        <w:pStyle w:val="ListBullet"/>
      </w:pPr>
      <w:r>
        <w:rPr>
          <w:b/>
        </w:rPr>
        <w:t>Choix cryptographiques : RC1=9/10 → GA=9/10 → GA-FINAL=9/10 (Stable — ML-KEM-768 + X25519 + HKDF)</w:t>
      </w:r>
    </w:p>
    <w:p>
      <w:pPr>
        <w:pStyle w:val="ListBullet"/>
      </w:pPr>
      <w:r>
        <w:rPr>
          <w:b/>
        </w:rPr>
        <w:t>Hardening mémoire : RC1=8/10 → GA=8/10 → GA-FINAL=8/10 (Stable — mlockall, memfd_create, zeroize)</w:t>
      </w:r>
    </w:p>
    <w:p>
      <w:pPr>
        <w:pStyle w:val="ListBullet"/>
      </w:pPr>
      <w:r>
        <w:rPr>
          <w:b/>
        </w:rPr>
        <w:t>Gestion SIGKILL : RC1=3/10 → GA=7/10 → GA-FINAL=7/10 (Stable — Watchdog sidecar couvre scénario non-root)</w:t>
      </w:r>
    </w:p>
    <w:p>
      <w:pPr>
        <w:pStyle w:val="ListBullet"/>
      </w:pPr>
      <w:r>
        <w:rPr>
          <w:b/>
        </w:rPr>
        <w:t>Gestion OOM / mlockall : RC1=5/10 → GA=7/10 → GA-FINAL=7/10 (Stable — Segmentation ION_HEAP_MASK, memfd_create)</w:t>
      </w:r>
    </w:p>
    <w:p>
      <w:pPr>
        <w:pStyle w:val="ListBullet"/>
      </w:pPr>
      <w:r>
        <w:rPr>
          <w:b/>
        </w:rPr>
        <w:t>Scientific rigor (PRNU) : RC1=4/10 → GA=8/10 → GA-FINAL=8/10 (Stable — Reformulation académique correcte)</w:t>
      </w:r>
    </w:p>
    <w:p>
      <w:pPr>
        <w:pStyle w:val="ListBullet"/>
      </w:pPr>
      <w:r>
        <w:rPr>
          <w:b/>
        </w:rPr>
        <w:t>Couverture de tests : RC1=4/10 → GA=6/10 → GA-FINAL=6/10 (Stable — Proptest ajouté mais volume encore léger)</w:t>
      </w:r>
    </w:p>
    <w:p>
      <w:pPr>
        <w:pStyle w:val="ListBullet"/>
      </w:pPr>
      <w:r>
        <w:rPr>
          <w:b/>
        </w:rPr>
        <w:t>Isolation FFI UI : RC1=7/10 → GA=9/10 → GA-FINAL=9/10 (Stable — Découplage étanche AegisErrorLevel)</w:t>
      </w:r>
    </w:p>
    <w:p>
      <w:pPr>
        <w:pStyle w:val="ListBullet"/>
      </w:pPr>
      <w:r>
        <w:rPr>
          <w:b/>
        </w:rPr>
        <w:t>Preuves formelles (Kani/Miri) : RC1=0/10 → GA=0/10 → GA-FINAL=9/10 (↑ Certificats détaillés 53/53 et 0 UB)</w:t>
      </w:r>
    </w:p>
    <w:p>
      <w:pPr>
        <w:pStyle w:val="ListBullet"/>
      </w:pPr>
      <w:r>
        <w:rPr>
          <w:b/>
        </w:rPr>
        <w:t>Intégration OSS-Fuzz : RC1=0/10 → GA=2/10 → GA-FINAL=7/10 (↑ PR #16091 référencée, niveau de détail élevé)</w:t>
      </w:r>
    </w:p>
    <w:p>
      <w:pPr>
        <w:pStyle w:val="ListBullet"/>
      </w:pPr>
      <w:r>
        <w:rPr>
          <w:b/>
        </w:rPr>
        <w:t>Builds reproductibles CI : RC1=0/10 → GA=3/10 → GA-FINAL=7/10 (↑ Job ID 33577582440 publié)</w:t>
      </w:r>
    </w:p>
    <w:p>
      <w:pPr>
        <w:pStyle w:val="Heading2"/>
      </w:pPr>
      <w:r>
        <w:t>A.2 Rigueur de l'Audit</w:t>
      </w:r>
    </w:p>
    <w:p>
      <w:pPr>
        <w:pStyle w:val="ListBullet"/>
      </w:pPr>
      <w:r>
        <w:rPr>
          <w:b/>
        </w:rPr>
        <w:t>Métriques objectives : RC1=7/10 → GA=8/10 → GA-FINAL=8/10 (Stable — Métriques hardware publiées)</w:t>
      </w:r>
    </w:p>
    <w:p>
      <w:pPr>
        <w:pStyle w:val="ListBullet"/>
      </w:pPr>
      <w:r>
        <w:rPr>
          <w:b/>
        </w:rPr>
        <w:t>Cohérence documentaire : RC1=4/10 → GA=6/10 → GA-FINAL=8/10 (↑ Matrice de levée traçable, corrections documentées)</w:t>
      </w:r>
    </w:p>
    <w:p>
      <w:pPr>
        <w:pStyle w:val="ListBullet"/>
      </w:pPr>
      <w:r>
        <w:rPr>
          <w:b/>
        </w:rPr>
        <w:t>Audit tiers White-Box : RC1=0/10 → GA=0/10 → GA-FINAL=0/10 (Stable — Toujours non réalisé)</w:t>
      </w:r>
    </w:p>
    <w:p>
      <w:pPr>
        <w:pStyle w:val="ListBullet"/>
      </w:pPr>
      <w:r>
        <w:rPr>
          <w:b/>
        </w:rPr>
        <w:t>Pentest Black-Box : RC1=0/10 → GA=0/10 → GA-FINAL=0/10 (Stable — Toujours non réalisé)</w:t>
      </w:r>
    </w:p>
    <w:p>
      <w:pPr>
        <w:pStyle w:val="ListBullet"/>
      </w:pPr>
      <w:r>
        <w:rPr>
          <w:b/>
        </w:rPr>
        <w:t>Protocole BRAVO (plan) : RC1=0/10 → GA=5/10 → GA-FINAL=7/10 (↑ Preuves formelles et PR OSS-Fuzz ajoutées)</w:t>
      </w:r>
    </w:p>
    <w:p>
      <w:pPr>
        <w:pStyle w:val="ListBullet"/>
      </w:pPr>
      <w:r>
        <w:rPr>
          <w:b/>
        </w:rPr>
        <w:t>Auto-homologation : RC1=5/10 → GA=3/10 → GA-FINAL=2/10 (↓ Claim '100 % HOMOLOGUÉ' s'aggrave, risque juridique)</w:t>
      </w:r>
    </w:p>
    <w:p>
      <w:pPr>
        <w:pStyle w:val="Heading2"/>
      </w:pPr>
      <w:r>
        <w:t>A.3 Résistance en l'État</w:t>
      </w:r>
    </w:p>
    <w:p>
      <w:pPr>
        <w:pStyle w:val="ListBullet"/>
      </w:pPr>
      <w:r>
        <w:rPr>
          <w:b/>
        </w:rPr>
        <w:t>Forensique NAND : RC1=9/10 → GA=9/10 → GA-FINAL=9/10 (Stable — Scellement TPM/StrongBox inchangé)</w:t>
      </w:r>
    </w:p>
    <w:p>
      <w:pPr>
        <w:pStyle w:val="ListBullet"/>
      </w:pPr>
      <w:r>
        <w:rPr>
          <w:b/>
        </w:rPr>
        <w:t>Dumps mémoire applicatifs : RC1=8/10 → GA=8/10 → GA-FINAL=8/10 (Stable — prctl + mlockall inchangé)</w:t>
      </w:r>
    </w:p>
    <w:p>
      <w:pPr>
        <w:pStyle w:val="ListBullet"/>
      </w:pPr>
      <w:r>
        <w:rPr>
          <w:b/>
        </w:rPr>
        <w:t>Side-channels logiciels : RC1=9/10 → GA=9/10 → GA-FINAL=9/10 (Stable — Constant-time + hardware AES inchangé)</w:t>
      </w:r>
    </w:p>
    <w:p>
      <w:pPr>
        <w:pStyle w:val="ListBullet"/>
      </w:pPr>
      <w:r>
        <w:rPr>
          <w:b/>
        </w:rPr>
        <w:t>Cold Boot Attack : RC1=5/10 → GA=7/10 → GA-FINAL=7/10 (Stable — ALPHA 1 sub-ms derivation bienvenue)</w:t>
      </w:r>
    </w:p>
    <w:p>
      <w:pPr>
        <w:pStyle w:val="ListBullet"/>
      </w:pPr>
      <w:r>
        <w:rPr>
          <w:b/>
        </w:rPr>
        <w:t>Rowhammer / RAMBleed : RC1=2/10 → GA=3/10 → GA-FINAL=3/10 (Stable — Guard pages présentes mais claim erroné persistant)</w:t>
      </w:r>
    </w:p>
    <w:p>
      <w:pPr>
        <w:pStyle w:val="ListBullet"/>
      </w:pPr>
      <w:r>
        <w:rPr>
          <w:b/>
        </w:rPr>
        <w:t>0-Day Kernel / Rootkit : RC1=3/10 → GA=4/10 → GA-FINAL=4/10 (Stable — ALPHA 3 ajouté mais superficiel)</w:t>
      </w:r>
    </w:p>
    <w:p>
      <w:pPr>
        <w:pStyle w:val="ListBullet"/>
      </w:pPr>
      <w:r>
        <w:rPr>
          <w:b/>
        </w:rPr>
        <w:t>Robustesse PanicPurge : RC1=4/10 → GA=7/10 → GA-FINAL=7/10 (Stable — Watchdog sidecar améliore scénario SIGKILL non-root)</w:t>
      </w:r>
    </w:p>
    <w:p>
      <w:r>
        <w:br w:type="page"/>
      </w:r>
    </w:p>
    <w:p>
      <w:pPr>
        <w:pStyle w:val="Heading1"/>
      </w:pPr>
      <w:r>
        <w:t>ANNEXE B – ANALYSE DÉTAILLÉE DES CERTIFICATS KANI &amp; MIRI</w:t>
      </w:r>
    </w:p>
    <w:p>
      <w:pPr>
        <w:spacing w:after="120"/>
      </w:pPr>
      <w:r>
        <w:rPr>
          <w:rFonts w:ascii="Calibri" w:hAnsi="Calibri"/>
          <w:b w:val="0"/>
          <w:i w:val="0"/>
          <w:sz w:val="22"/>
        </w:rPr>
        <w:t>Cette annexe analyse la portée technique et les limites des certificats formels présentés dans la révision finale GA.</w:t>
      </w:r>
    </w:p>
    <w:p>
      <w:pPr>
        <w:pStyle w:val="Heading2"/>
      </w:pPr>
      <w:r>
        <w:t>B.1 Kani Rust Verifier 0.67.0 / CBMC 6.8.0</w:t>
      </w:r>
    </w:p>
    <w:p>
      <w:pPr>
        <w:spacing w:after="120"/>
      </w:pPr>
      <w:r>
        <w:rPr>
          <w:rFonts w:ascii="Calibri" w:hAnsi="Calibri"/>
          <w:b w:val="0"/>
          <w:i w:val="0"/>
          <w:sz w:val="22"/>
        </w:rPr>
        <w:t>Le certificat Kani atteste que le harness verify_process_512b_frame_bounds passe 53 vérifications sans échec.</w:t>
      </w:r>
    </w:p>
    <w:p>
      <w:pPr>
        <w:pStyle w:val="ListBullet"/>
      </w:pPr>
      <w:r>
        <w:rPr>
          <w:b/>
        </w:rPr>
        <w:t xml:space="preserve">Ce que Kani prouve : </w:t>
      </w:r>
      <w:r>
        <w:t>L'absence de débordement de tampon (buffer overflow) sur les accès mémoire du traitement de trames de 512 octets. L'absence de panic (débordement arithmétique, division par zéro, assertion violée). La conformité des bornes d'indices de tableaux.</w:t>
      </w:r>
    </w:p>
    <w:p>
      <w:pPr>
        <w:pStyle w:val="ListBullet"/>
      </w:pPr>
      <w:r>
        <w:rPr>
          <w:b/>
        </w:rPr>
        <w:t xml:space="preserve">Ce que Kani ne prouve pas : </w:t>
      </w:r>
      <w:r>
        <w:t>La correction fonctionnelle du chiffrement (Kani ne vérifie pas que AES-GCM produit le bon ciphertext). L'absence de fuites d'information par canaux auxiliaires (timing, cache, power). La résistance à des entrées malveillantes de haut niveau (logique de protocole). La sécurité des interactions concurrentes (race conditions entre threads).</w:t>
      </w:r>
    </w:p>
    <w:p>
      <w:pPr>
        <w:pStyle w:val="ListBullet"/>
      </w:pPr>
      <w:r>
        <w:rPr>
          <w:b/>
        </w:rPr>
        <w:t xml:space="preserve">Limites du harness : </w:t>
      </w:r>
      <w:r>
        <w:t>Le harness verify_process_512b_frame_bounds est limité au traitement d'une trame isolée. Il ne couvre pas le cycle de vie complet d'une session P2P (négociation de clés, multiplexage QUIC, gestion des retransmissions, teardown).</w:t>
      </w:r>
    </w:p>
    <w:p>
      <w:pPr>
        <w:pStyle w:val="Heading2"/>
      </w:pPr>
      <w:r>
        <w:t>B.2 Miri (Rust MIR Interpreter) Nightly</w:t>
      </w:r>
    </w:p>
    <w:p>
      <w:pPr>
        <w:spacing w:after="120"/>
      </w:pPr>
      <w:r>
        <w:rPr>
          <w:rFonts w:ascii="Calibri" w:hAnsi="Calibri"/>
          <w:b w:val="0"/>
          <w:i w:val="0"/>
          <w:sz w:val="22"/>
        </w:rPr>
        <w:t>Le certificat Miri atteste 0 Memory Leaks, 0 Undefined Behaviors et 0 FFI Violations sur le test test_aes_256_gcm_neon_roundtrip.</w:t>
      </w:r>
    </w:p>
    <w:p>
      <w:pPr>
        <w:pStyle w:val="ListBullet"/>
      </w:pPr>
      <w:r>
        <w:rPr>
          <w:b/>
        </w:rPr>
        <w:t xml:space="preserve">Ce que Miri prouve : </w:t>
      </w:r>
      <w:r>
        <w:t>L'absence d'Undefined Behavior au sens du modèle mémoire Rust (Stacked Borrows / Tree Borrows). L'absence de fuites mémoire (toute allocation est libérée). La validité des appels FFI (types, alignement, durée de vie des pointeurs passés au NDK).</w:t>
      </w:r>
    </w:p>
    <w:p>
      <w:pPr>
        <w:pStyle w:val="ListBullet"/>
      </w:pPr>
      <w:r>
        <w:rPr>
          <w:b/>
        </w:rPr>
        <w:t xml:space="preserve">Ce que Miri ne prouve pas : </w:t>
      </w:r>
      <w:r>
        <w:t>La correction algorithmique de l'AES-GCM NEON (Miri ne vérifie pas la conformité FIPS 197). L'absence de fuites par canaux auxiliaires. Le comportement sur architecture matérielle réelle (Miri est un interpréteur MIR, pas un émulateur ARM).</w:t>
      </w:r>
    </w:p>
    <w:p>
      <w:pPr>
        <w:spacing w:after="120"/>
      </w:pPr>
      <w:r>
        <w:rPr>
          <w:rFonts w:ascii="Calibri" w:hAnsi="Calibri"/>
          <w:b/>
          <w:i w:val="0"/>
          <w:sz w:val="22"/>
        </w:rPr>
        <w:t>Conclusion de l'Annexe B : Les certificats Kani et Miri sont des preuves formelles précieuses qui augmentent significativement la confiance dans la solidité du code Rust natif. Ils ne remplacent cependant pas un audit de sécurité fonctionnelle (White-Box) ni un pentest runtime (Black-Box). Ils prouvent l'absence de certaines classes de bugs bas niveau, pas la résistance face à un attaquant déterminé.</w:t>
      </w:r>
    </w:p>
    <w:p>
      <w:pPr>
        <w:spacing w:after="120"/>
      </w:pPr>
      <w:r>
        <w:rPr>
          <w:rFonts w:ascii="Calibri" w:hAnsi="Calibri"/>
          <w:b w:val="0"/>
          <w:i/>
          <w:color w:val="808080"/>
          <w:sz w:val="18"/>
        </w:rPr>
        <w:br/>
        <w:br/>
        <w:t>---</w:t>
        <w:br/>
        <w:t>Document généré automatiquement à partir de l'analyse technique des livrables AEGIS v2.2-RC1, v2.2-GA, v2.2-GA-FINAL et Note de Synthèse de Réponse.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