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7C2" w:rsidRPr="00DD77C2" w:rsidRDefault="00DD77C2" w:rsidP="00DD77C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1. Qualité de l’Application &amp; Architecture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Points Forts (Solide)</w:t>
      </w:r>
    </w:p>
    <w:p w:rsidR="00DD77C2" w:rsidRPr="00DD77C2" w:rsidRDefault="00DD77C2" w:rsidP="00DD77C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fr-FR"/>
        </w:rPr>
      </w:pPr>
      <w:r w:rsidRPr="00DD77C2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7060"/>
      </w:tblGrid>
      <w:tr w:rsidR="00DD77C2" w:rsidRPr="00DD77C2" w:rsidTr="00DD77C2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Domaine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Appréciation Technique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Cryptographie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Le choix hybride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ML-KEM-768 (FIPS 203) + X25519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est canonique et bien dérivé via HKDF-SHA256. L’exigence de constant-time via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dalek-cryptography</w:t>
            </w:r>
            <w:proofErr w:type="spellEnd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 xml:space="preserve"> v4.1+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est correcte. L’AES-256-GCM 100 % hardware (ARM NEON / Crypto Extensions) élimine effectivement les attaques cache-timing logicielles.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Zero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-Disk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  <w:t xml:space="preserve">L’architecture RAM-to-VRAM via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val="en-US" w:eastAsia="fr-FR"/>
              </w:rPr>
              <w:t>memfd_create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  <w:t xml:space="preserve">,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val="en-US" w:eastAsia="fr-FR"/>
              </w:rPr>
              <w:t>Sliding Ring-Buffer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  <w:t xml:space="preserve"> et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val="en-US" w:eastAsia="fr-FR"/>
              </w:rPr>
              <w:t>AHardwareBuffer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  <w:t xml:space="preserve"> Zero-Copy est cohérente avec l’objectif anti-forensique. 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Le traitement par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chunks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de 4 Mo est la bonne approche pour contourner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RLIMIT_MEMLOCK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Transport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Noise sur QUIC, relayé par Tor v3, avec trames fixes de 512 octets et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chaffing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CSPRNG, offre une bonne résistance à l’analyse de trafic (corrélation de taille).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Pairing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 OOB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Le QR code glissant (v20) embarquant la clé publique PQ, Ed25519 et l’adresse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Onion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est un modèle de confiance minimal (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Zero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-Trust Directory) bien pensé.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Hardening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 Compilation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La configuration Cargo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panic = "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abort</w:t>
            </w:r>
            <w:proofErr w:type="spellEnd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"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lto</w:t>
            </w:r>
            <w:proofErr w:type="spellEnd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 xml:space="preserve"> =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true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strip</w:t>
            </w:r>
            <w:proofErr w:type="spellEnd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 xml:space="preserve"> =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true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codegen-units</w:t>
            </w:r>
            <w:proofErr w:type="spellEnd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 xml:space="preserve"> = 1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est conforme aux meilleures pratiques de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build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sécurisé.</w:t>
            </w:r>
          </w:p>
        </w:tc>
      </w:tr>
    </w:tbl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Points de Vigilance &amp; Fragilités</w:t>
      </w:r>
    </w:p>
    <w:p w:rsidR="00DD77C2" w:rsidRPr="00DD77C2" w:rsidRDefault="00DD77C2" w:rsidP="00DD77C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fr-FR"/>
        </w:rPr>
      </w:pPr>
      <w:r w:rsidRPr="00DD77C2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1912"/>
        <w:gridCol w:w="5572"/>
      </w:tblGrid>
      <w:tr w:rsidR="00DD77C2" w:rsidRPr="00DD77C2" w:rsidTr="00DD77C2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Criticité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Problème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Analyse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CRITIQUE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SIGKILL non </w:t>
            </w: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interceptable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Le document affirme à plusieurs reprises que le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scrambling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GPU et le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PanicPurge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sont déclenchés via un «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handler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sigaction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étendu » sur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SIGKILL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(v2.2 §2.1, v2.1 §4).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C’est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lastRenderedPageBreak/>
              <w:t>techniquement impossible.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SIGKILL (signal 9) ne peut être ni capturé, ni bloqué, ni ignoré par un processus utilisateur. Si le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kernel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(OOM killer,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kill</w:t>
            </w:r>
            <w:proofErr w:type="spellEnd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 xml:space="preserve"> -9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ou un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rootkit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) envoie SIGKILL, le processus meurt immédiatement sans exécuter aucun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handler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. Le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scrambling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GPU ne sera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jamais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déclenché dans ce cas. Cela crée un trou noir dans la chaîne de confiance du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PanicPurge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lastRenderedPageBreak/>
              <w:t>MAJEUR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Scope de </w:t>
            </w:r>
            <w:proofErr w:type="spellStart"/>
            <w:r w:rsidRPr="00DD77C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none" w:sz="0" w:space="0" w:color="auto" w:frame="1"/>
                <w:lang w:eastAsia="fr-FR"/>
              </w:rPr>
              <w:t>mlockall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L’appel à </w:t>
            </w:r>
            <w:proofErr w:type="spellStart"/>
            <w:proofErr w:type="gram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mlockall</w:t>
            </w:r>
            <w:proofErr w:type="spellEnd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(</w:t>
            </w:r>
            <w:proofErr w:type="gramEnd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MCL_CURRENT | MCL_FUTURE)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verrouille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toute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la mémoire du processus (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heap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Dart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textures GPU,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stack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Flutter, etc.). Sur Android non-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root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avec une limite typique de ~64 Mo, cela expose le processus à des échecs d’allocation rapides et potentiellement à un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kill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par l’OOM killer (qui, lui, ne donnera aucune chance de purge). L’exclusion des tampons GPU via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ION_HEAP_MASK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est mentionnée mais non standardisée sur tous les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SoC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MAJEUR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Claim PRNU « 100 % 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Le document v2.1 §3 affirme un « taux d’anonymisation du capteur validé à 100 % » par un simple filtre gaussien 3x3. Le PRNU est un bruit de haute fréquence spatiale ; un gaussien 3x3 l’atténue mais ne le supprime pas nécessairement de manière irréversible, surtout face à des estimateurs avancés (MLE, phase-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only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correlation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). Le claim 100 % est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excessif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et non prouvé par les métriques fournies.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MAJEUR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Tests unitaires insuffisants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88 tests cargo (69 unitaires + 19 intégration) pour un moteur cryptographique natif, un pipeline P2P/Tor/QUIC et un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hardening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kernel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est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très faible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. Pour comparaison, des projets comparables (Signal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libsignal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Wire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) comptent des milliers de tests et des suites de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fuzzing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continues.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MINEUR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Fuzzing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 « 10M exécutions 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Le jalon S4 (v2.2 §6) cite « 0 crash sur corpus de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fuzzing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(10M exécutions) ». En cryptographie, 10 millions d’itérations est un volume de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fuzzing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extrêmement léger. L’équivalent industriel (OSS-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Fuzz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) tourne sur des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milliards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d’exécutions sur plusieurs semaines. Ce jalon ne prouve pas la robustesse.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lastRenderedPageBreak/>
              <w:t>MINEUR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FFI </w:t>
            </w:r>
            <w:proofErr w:type="spellStart"/>
            <w:r w:rsidRPr="00DD77C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none" w:sz="0" w:space="0" w:color="auto" w:frame="1"/>
                <w:lang w:eastAsia="fr-FR"/>
              </w:rPr>
              <w:t>Result</w:t>
            </w:r>
            <w:proofErr w:type="spellEnd"/>
            <w:r w:rsidRPr="00DD77C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none" w:sz="0" w:space="0" w:color="auto" w:frame="1"/>
                <w:lang w:eastAsia="fr-FR"/>
              </w:rPr>
              <w:t>&lt;T,E&gt;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L’exigence de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wrapper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FFI sécurisé est bonne, mais la redirection de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FlutterError.onError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vers un panic natif peut masquer des bugs de logique UI et rendre le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debug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impossible en production.</w:t>
            </w:r>
          </w:p>
        </w:tc>
      </w:tr>
    </w:tbl>
    <w:p w:rsidR="00DD77C2" w:rsidRPr="00DD77C2" w:rsidRDefault="00DD77C2" w:rsidP="00DD77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7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D77C2" w:rsidRPr="00DD77C2" w:rsidRDefault="00DD77C2" w:rsidP="00DD77C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2. Qualité &amp; Rigueur de l’Audit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Contradiction Documentaire</w:t>
      </w:r>
    </w:p>
    <w:p w:rsidR="00DD77C2" w:rsidRPr="00DD77C2" w:rsidRDefault="00DD77C2" w:rsidP="00DD77C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Le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Cahier des Charges v2.2-RC1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(§5) annule explicitement l’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auto-audit interne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et le remplace par un protocole d’évaluation externe (V1–V6 : White-Box tiers,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Pentest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Black-Box,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Fuzzing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crypto, Hardware, Benchmark énergétique, Scellement HSM).</w:t>
      </w:r>
    </w:p>
    <w:p w:rsidR="00DD77C2" w:rsidRPr="00DD77C2" w:rsidRDefault="00DD77C2" w:rsidP="00DD77C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Or, la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Note de Validation Technique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est rédigée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exactement comme un auto-audit interne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: elle présente des métriques de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build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, des dumps mémoire internes, des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hashes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SHA-256 et une évaluation financière. Il existe donc une </w:t>
      </w:r>
      <w:proofErr w:type="spellStart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incoherence</w:t>
      </w:r>
      <w:proofErr w:type="spellEnd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 xml:space="preserve"> de gouvernance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: le document stratégique dit « plus d’auto-audit », mais le document opérationnel livré est un auto-audit.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Ce qui est vérifiable et correct</w:t>
      </w:r>
    </w:p>
    <w:p w:rsidR="00DD77C2" w:rsidRPr="00DD77C2" w:rsidRDefault="00DD77C2" w:rsidP="00DD77C2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Stripping binaire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L’inspection 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llvm-readelf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pour confirmer 0 octet </w:t>
      </w:r>
      <w:proofErr w:type="gram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en </w:t>
      </w:r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.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debug</w:t>
      </w:r>
      <w:proofErr w:type="spellEnd"/>
      <w:proofErr w:type="gram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_*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et 20 symboles FFI publics est une métrique objective et reproductible.</w:t>
      </w:r>
    </w:p>
    <w:p w:rsidR="00DD77C2" w:rsidRPr="00DD77C2" w:rsidRDefault="00DD77C2" w:rsidP="00DD77C2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 xml:space="preserve">Dépouillement </w:t>
      </w:r>
      <w:proofErr w:type="spellStart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logcat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La redirection </w:t>
      </w:r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dup2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vers </w:t>
      </w:r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dev</w:t>
      </w:r>
      <w:proofErr w:type="spell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/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null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et l’absence de traces dans 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tombstones</w:t>
      </w:r>
      <w:proofErr w:type="spell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/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sont vérifiables par un test ADB reproductible.</w:t>
      </w:r>
    </w:p>
    <w:p w:rsidR="00DD77C2" w:rsidRPr="00DD77C2" w:rsidRDefault="00DD77C2" w:rsidP="00DD77C2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Benchmark AES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Le claim de 215,58 Mo/s sur ARM Crypto Extensions est plausible et mesurable.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Ce qui manque ou est </w:t>
      </w:r>
      <w:proofErr w:type="spellStart"/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sur-évalué</w:t>
      </w:r>
      <w:proofErr w:type="spellEnd"/>
    </w:p>
    <w:p w:rsidR="00DD77C2" w:rsidRPr="00DD77C2" w:rsidRDefault="00DD77C2" w:rsidP="00DD77C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fr-FR"/>
        </w:rPr>
      </w:pPr>
      <w:r w:rsidRPr="00DD77C2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1750"/>
        <w:gridCol w:w="5048"/>
      </w:tblGrid>
      <w:tr w:rsidR="00DD77C2" w:rsidRPr="00DD77C2" w:rsidTr="00DD77C2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lastRenderedPageBreak/>
              <w:t>Élément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Statut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Commentaire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val="en-US" w:eastAsia="fr-FR"/>
              </w:rPr>
              <w:t>Audit White-Box tiers (V1)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Non réalisé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Le document v2.2 le planifie en S11–S12. Il n’y a aucun rapport de cabinet indépendant (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Synacktiv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Quarkslab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, etc.) dans les livrables.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Pentest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 Black-Box (V2)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Non réalisé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Planifié S13–S14. Aucun résultat.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val="en-US" w:eastAsia="fr-FR"/>
              </w:rPr>
              <w:t>Fuzzing continu OSS-Fuzz (V3)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Planifié, non prouvé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Le document mentionne l’intégration de harnais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cargo-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fuzz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et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Honggfuzz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, mais ne fournit pas de preuve d’intégration au dépôt Google OSS-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Fuzz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ni de couverture de code.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Vérification formelle </w:t>
            </w: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Kani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/Miri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Planifiée, non prouvée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Aucun résultat de preuve, aucun listing de propriétés vérifiées.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Reproducible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Builds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Pipeline CI décrit, non validé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Le pipeline GitHub Actions sous Docker NDK fixe est une bonne base, mais l’empreinte SHA-256 scellée n’a pas été vérifiée par un tiers.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Matrice Hardware 10+ appareils (V4)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Non fournie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Le document v2.2 cite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Galaxy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S23, Pixel 8,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Xiaomi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14, mais aucune matrice de compatibilité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SoC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/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StrongBox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n’est jointe.</w:t>
            </w:r>
          </w:p>
        </w:tc>
      </w:tr>
    </w:tbl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Verdict sur l’Audit</w:t>
      </w:r>
    </w:p>
    <w:p w:rsidR="00DD77C2" w:rsidRPr="00DD77C2" w:rsidRDefault="00DD77C2" w:rsidP="00DD77C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L’audit présenté est un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auto-audit technique de bon niveau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, mais il ne constitue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pas une assurance de sécurité indépendante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. Les métriques sont bien choisies (stripping,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heap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dump, performance), mais le volume de tests est faible et l’absence totale d’audit tiers rend la « validation » non transposable à un cadre d’homologation B2G.</w:t>
      </w:r>
    </w:p>
    <w:p w:rsidR="00DD77C2" w:rsidRPr="00DD77C2" w:rsidRDefault="00DD77C2" w:rsidP="00DD77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7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D77C2" w:rsidRPr="00DD77C2" w:rsidRDefault="00DD77C2" w:rsidP="00DD77C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3. Capacité de Résistance en l’État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Menaces bien couvertes</w:t>
      </w:r>
    </w:p>
    <w:p w:rsidR="00DD77C2" w:rsidRPr="00DD77C2" w:rsidRDefault="00DD77C2" w:rsidP="00DD77C2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proofErr w:type="spellStart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lastRenderedPageBreak/>
        <w:t>Forensique</w:t>
      </w:r>
      <w:proofErr w:type="spellEnd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 xml:space="preserve"> post-mortem NAND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Le scellement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StrongBox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/TPM 2.0 est solide. Sans la clé Master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Vault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Key, les blocs FBE sont mathématiquement indéchiffrables.</w:t>
      </w:r>
    </w:p>
    <w:p w:rsidR="00DD77C2" w:rsidRPr="00DD77C2" w:rsidRDefault="00DD77C2" w:rsidP="00DD77C2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Dumps mémoire applicatifs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</w:t>
      </w:r>
      <w:proofErr w:type="spellStart"/>
      <w:proofErr w:type="gram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prctl</w:t>
      </w:r>
      <w:proofErr w:type="spell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(</w:t>
      </w:r>
      <w:proofErr w:type="gram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PR_SET_DUMPABLE, 0)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+ 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mlockall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+ </w:t>
      </w:r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MADV_DONTDUMP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+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zeroize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forment une défense en profondeur efficace contre les attaques utilisateur standard (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ptrace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, dumps Android Studio).</w:t>
      </w:r>
    </w:p>
    <w:p w:rsidR="00DD77C2" w:rsidRPr="00DD77C2" w:rsidRDefault="00DD77C2" w:rsidP="00DD77C2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proofErr w:type="spellStart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Side-channels</w:t>
      </w:r>
      <w:proofErr w:type="spellEnd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 xml:space="preserve"> logiciels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Le constant-time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dalek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et l’AES hardware éliminent les vecteurs temporels et cache-timing logiciels.</w:t>
      </w:r>
    </w:p>
    <w:p w:rsidR="00DD77C2" w:rsidRPr="00DD77C2" w:rsidRDefault="00DD77C2" w:rsidP="00DD77C2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Capture d’écran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</w:t>
      </w:r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FLAG_SECURE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est une mitigation standard et efficace sur Android non-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root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.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Menaces partiellement couvertes (mitigations discutables)</w:t>
      </w:r>
    </w:p>
    <w:p w:rsidR="00DD77C2" w:rsidRPr="00DD77C2" w:rsidRDefault="00DD77C2" w:rsidP="00DD77C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fr-FR"/>
        </w:rPr>
      </w:pPr>
      <w:r w:rsidRPr="00DD77C2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696"/>
        <w:gridCol w:w="4487"/>
      </w:tblGrid>
      <w:tr w:rsidR="00DD77C2" w:rsidRPr="00DD77C2" w:rsidTr="00DD77C2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Menace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Mitigation AEGIS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Réalité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Cold Boot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Clés reconstituées « on-the-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fly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» puis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zeroizées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immédiatement.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C’est la seule parade logicielle possible, mais si l’attaquant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cryogénise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la RAM sous tension, les données sont extractibles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avant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que le processus ne meure. Le document honnêtement place cela hors périmètre.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Rowhammer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 / </w:t>
            </w: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RAMBleed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Pages de garde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PROT_NONE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Inefficace.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Rowhammer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agit au niveau physique de la DRAM (lignes de bit adjacentes), pas sur les pages virtuelles. Une page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PROT_NONE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en espace virtuel n’empêche pas la corruption physique d’une ligne voisine.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0-Day </w:t>
            </w: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Kernel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 / </w:t>
            </w: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Root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«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Zero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-Trust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Kernel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», surveillance PCR, détection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ptrace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/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kprobes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Si le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kernel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est compromis, l’attaquant contrôle les appels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prctl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madvise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fr-FR"/>
              </w:rPr>
              <w:t>sigaction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et peut lire la mémoire physique. Les vérifications PCR sont lisibles mais l’attaquant peut mentir à l’application sur les résultats. La limitation est honnêtement assumée, mais la mitigation est faible.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Manipulation temporelle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  <w:t xml:space="preserve">Comparaison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val="en-US" w:eastAsia="fr-FR"/>
              </w:rPr>
              <w:t>CLOCK_BOOTTIME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  <w:t xml:space="preserve"> vs </w:t>
            </w:r>
            <w:r w:rsidRPr="00DD77C2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val="en-US" w:eastAsia="fr-FR"/>
              </w:rPr>
              <w:t>CLOCK_REALTIME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val="en-US" w:eastAsia="fr-FR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Correcte contre un simple changement d’heure système, mais un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rootkit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kernel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peut intercepter les deux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clocksources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.</w:t>
            </w:r>
          </w:p>
        </w:tc>
      </w:tr>
    </w:tbl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lastRenderedPageBreak/>
        <w:t>Erreur Opérationnelle Critique : Le SIGKILL</w:t>
      </w:r>
    </w:p>
    <w:p w:rsidR="00DD77C2" w:rsidRPr="00DD77C2" w:rsidRDefault="00DD77C2" w:rsidP="00DD77C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La capacité de résistance repose en grande partie sur le </w:t>
      </w:r>
      <w:proofErr w:type="spellStart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PanicPurge</w:t>
      </w:r>
      <w:proofErr w:type="spellEnd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 xml:space="preserve"> &lt; 10 ms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. Or, comme établi ci-dessus,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SIGKILL court-circuite entièrement cette séquence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. Un attaquant avec un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shell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privilégié (ADB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root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, ou exploit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kernel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) peut envoyer 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kill</w:t>
      </w:r>
      <w:proofErr w:type="spell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 xml:space="preserve"> -9 &lt;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pid</w:t>
      </w:r>
      <w:proofErr w:type="spell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&gt;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et le processus AEGIS disparaîtra sans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zeroize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, sans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scrambling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GPU, sans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wipe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TPM, sans </w:t>
      </w:r>
      <w:proofErr w:type="spell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SYS_exit_</w:t>
      </w:r>
      <w:proofErr w:type="gramStart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group</w:t>
      </w:r>
      <w:proofErr w:type="spell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(</w:t>
      </w:r>
      <w:proofErr w:type="gramEnd"/>
      <w:r w:rsidRPr="00DD77C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fr-FR"/>
        </w:rPr>
        <w:t>137)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. Le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tombstone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ne sera pas généré, mais les secrets en RAM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ne seront pas non plus effacés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par la logique applicative.</w:t>
      </w:r>
    </w:p>
    <w:p w:rsidR="00DD77C2" w:rsidRPr="00DD77C2" w:rsidRDefault="00DD77C2" w:rsidP="00DD77C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Recommandation immédiate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: Ne pas prétendre protéger contre SIGKILL. Le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PanicPurge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doit être repositionné comme résistant aux arrêts « gracieux » (SIGTERM, crash,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onTrimMemory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onPause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) et aux détections internes (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deadman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, canaris), mais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pas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comme invulnérable face à un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kill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système brutal.</w:t>
      </w:r>
    </w:p>
    <w:p w:rsidR="00DD77C2" w:rsidRPr="00DD77C2" w:rsidRDefault="00DD77C2" w:rsidP="00DD77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7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D77C2" w:rsidRPr="00DD77C2" w:rsidRDefault="00DD77C2" w:rsidP="00DD77C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4. Valeur Marchande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Analyse des fourchettes fournies</w:t>
      </w:r>
    </w:p>
    <w:p w:rsidR="00DD77C2" w:rsidRPr="00DD77C2" w:rsidRDefault="00DD77C2" w:rsidP="00DD77C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fr-FR"/>
        </w:rPr>
      </w:pPr>
      <w:r w:rsidRPr="00DD77C2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1610"/>
        <w:gridCol w:w="5876"/>
      </w:tblGrid>
      <w:tr w:rsidR="00DD77C2" w:rsidRPr="00DD77C2" w:rsidTr="00DD77C2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Métrique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Fourchette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Appréciation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Coût R&amp;D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150 000 € – 300 000 €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Réaliste.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15 semaines × 3 ingénieurs seniors Rust/NDK/Crypto/Flutter à un TJM de 800–1200 € correspond à cette fourchette.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Valeur 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250 000 € – 500 000 €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Optimiste en l’état.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La valeur IP réside dans les implémentations spécifiques (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StreamPipe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VRAM,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PanicPurge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, Anti-PRNU). Sans brevet déposé ni preuve d’audit, c’est de l’IP « brute ». Un intégrateur de défense paierait plus volontiers après homologation.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 xml:space="preserve">Valeur </w:t>
            </w: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PoC</w:t>
            </w:r>
            <w:proofErr w:type="spellEnd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/RC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200 000 € – 350 000 €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Réaliste si fonctionnel.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Un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PoC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validé sur matériel réel (Pixel 8,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Galaxy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S23) avec les benchmarks énergétiques et les débits annoncés a une valeur technique tangible pour un acquéreur souhaitant industrialiser.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lastRenderedPageBreak/>
              <w:t>Valeur potentielle B2G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2 000 000 € – 5 000 000+ 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Très optimiste sans audit tiers.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Le marché B2G (ministères, OIV, ONG) exige des rapports d’audit reconnus (ANSSI, passation de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pentest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par cabinet qualifié). La stratégie « équivalence d’audit gratuite » (OSS-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Fuzz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+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Kani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+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Reproducible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Builds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) est excellente pour la communauté open-source, mais </w:t>
            </w: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ne remplace pas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un rapport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Quarkslab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/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Synacktiv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pour un DGS/PRISM.</w:t>
            </w:r>
          </w:p>
        </w:tc>
      </w:tr>
    </w:tbl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Facteurs de dévalorisation actuels</w:t>
      </w:r>
    </w:p>
    <w:p w:rsidR="00DD77C2" w:rsidRPr="00DD77C2" w:rsidRDefault="00DD77C2" w:rsidP="00DD77C2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Absence d’audit tiers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C’est le plus gros frein à la valorisation B2G. Un acheteur ne peut pas déléguer la confiance à des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auto-tests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.</w:t>
      </w:r>
    </w:p>
    <w:p w:rsidR="00DD77C2" w:rsidRPr="00DD77C2" w:rsidRDefault="00DD77C2" w:rsidP="00DD77C2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Erreur technique sur SIGKILL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Un expert en sécurité repérera immédiatement cette erreur dans une due diligence technique, ce qui fragilise la crédibilité de l’ensemble du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threat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model.</w:t>
      </w:r>
    </w:p>
    <w:p w:rsidR="00DD77C2" w:rsidRPr="00DD77C2" w:rsidRDefault="00DD77C2" w:rsidP="00DD77C2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Claim PRNU 100 %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Risque de remise en cause lors d’un audit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forensique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d’images par un tiers.</w:t>
      </w:r>
    </w:p>
    <w:p w:rsidR="00DD77C2" w:rsidRPr="00DD77C2" w:rsidRDefault="00DD77C2" w:rsidP="00DD77C2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Volume de tests (88)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: Insuffisant pour démontrer la maturité d’un moteur crypto natif.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Facteurs de valorisation réels</w:t>
      </w:r>
    </w:p>
    <w:p w:rsidR="00DD77C2" w:rsidRPr="00DD77C2" w:rsidRDefault="00DD77C2" w:rsidP="00DD77C2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La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spécification technique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est d’un excellent niveau rédactionnel ; elle démontre une maîtrise architecturale rare.</w:t>
      </w:r>
    </w:p>
    <w:p w:rsidR="00DD77C2" w:rsidRPr="00DD77C2" w:rsidRDefault="00DD77C2" w:rsidP="00DD77C2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Le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modèle de menace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est honnête sur ses limites (Cold Boot,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Rowhammer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, 0-Day </w:t>
      </w:r>
      <w:proofErr w:type="spellStart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kernel</w:t>
      </w:r>
      <w:proofErr w:type="spellEnd"/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>), ce qui est un signe de maturité.</w:t>
      </w:r>
    </w:p>
    <w:p w:rsidR="00DD77C2" w:rsidRPr="00DD77C2" w:rsidRDefault="00DD77C2" w:rsidP="00DD77C2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La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feuille de route 15 semaines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t xml:space="preserve"> (v2.2) est bien découpée et atteignable.</w:t>
      </w:r>
    </w:p>
    <w:p w:rsidR="00DD77C2" w:rsidRPr="00DD77C2" w:rsidRDefault="00DD77C2" w:rsidP="00DD77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7C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D77C2" w:rsidRPr="00DD77C2" w:rsidRDefault="00DD77C2" w:rsidP="00DD77C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5. Verdict Global &amp; Recommandations Prioritaires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Synthèse</w:t>
      </w:r>
    </w:p>
    <w:p w:rsidR="00DD77C2" w:rsidRPr="00DD77C2" w:rsidRDefault="00DD77C2" w:rsidP="00DD77C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AEGIS v2.2-RC1 est une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architecture de sécurité mobile ambitieuse et techniquement avancée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, avec des choix cryptographiques et anti-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forensiques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de premier plan. Cependant, le produit en l’état est un </w:t>
      </w:r>
      <w:proofErr w:type="spellStart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PoC</w:t>
      </w:r>
      <w:proofErr w:type="spellEnd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 xml:space="preserve">/Release Candidate de forte qualité </w:t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lastRenderedPageBreak/>
        <w:t>conceptuelle, mais non validé par des tiers et porteur d’une erreur technique majeure (SIGKILL)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qui fragilise sa promesse centrale de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PanicPurge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inviolable.</w:t>
      </w:r>
    </w:p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Actions immédiates recommandées</w:t>
      </w:r>
    </w:p>
    <w:p w:rsidR="00DD77C2" w:rsidRPr="00DD77C2" w:rsidRDefault="00DD77C2" w:rsidP="00DD77C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fr-FR"/>
        </w:rPr>
      </w:pPr>
      <w:r w:rsidRPr="00DD77C2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5878"/>
        <w:gridCol w:w="1968"/>
      </w:tblGrid>
      <w:tr w:rsidR="00DD77C2" w:rsidRPr="00DD77C2" w:rsidTr="00DD77C2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Impact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Corriger la documentation et le code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: retirer toute mention de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handler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SIGKILL. Implémenter une mitigation alternative (ex: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watchdog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kernel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externe, ou accepter la limite et renforcer les détections en amont).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Crédibilité technique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Augmenter la couverture de tests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: viser 500+ tests unitaires et des suites d’intégration P2P/Tor end-to-end.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Assurance qualité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Lancer l’audit White-Box V1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par un cabinet reconnu. C’est le verrou bloquant toute valorisation B2G.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Valorisation &amp; homologation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Publier la matrice hardware V4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: prouver la compatibilité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StrongBox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sur les 10+ appareils cités.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Faisabilité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Remplacer le claim « 100 % anonymisation PRNU »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par une métrique probabiliste (ex: « résistance à l’identification GAN-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based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et corrélation PRNU sur base de 10 000 clichés »).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Crédibilité scientifique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Intégrer réellement à OSS-</w:t>
            </w:r>
            <w:proofErr w:type="spellStart"/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Fuzz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et fournir un lien public vers le projet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fuzzing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(même si le code est source-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available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Transparence</w:t>
            </w:r>
          </w:p>
        </w:tc>
      </w:tr>
      <w:tr w:rsidR="00DD77C2" w:rsidRPr="00DD77C2" w:rsidTr="00DD77C2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Exécuter le benchmark énergétique V5</w:t>
            </w: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(24h Tor + 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stream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) et publier les courbes de consommation (</w:t>
            </w:r>
            <w:proofErr w:type="spellStart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mAh</w:t>
            </w:r>
            <w:proofErr w:type="spellEnd"/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/h).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DD77C2" w:rsidRPr="00DD77C2" w:rsidRDefault="00DD77C2" w:rsidP="00DD77C2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DD77C2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Validation des claims</w:t>
            </w:r>
          </w:p>
        </w:tc>
      </w:tr>
    </w:tbl>
    <w:p w:rsidR="00DD77C2" w:rsidRPr="00DD77C2" w:rsidRDefault="00DD77C2" w:rsidP="00DD77C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DD77C2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Conclusion</w:t>
      </w:r>
    </w:p>
    <w:p w:rsidR="00DD77C2" w:rsidRPr="00DD77C2" w:rsidRDefault="00DD77C2" w:rsidP="00DD77C2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 xml:space="preserve">Qualité de </w:t>
      </w:r>
      <w:proofErr w:type="spellStart"/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l’app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: 7,5/10 (excellente architecture, erreur SIGKILL, tests légers).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br/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Rigueur de l’audit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: 5/10 (bon auto-audit, mais pas un audit tiers ; contradiction documentaire).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br/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t>Résistance en l’état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: 6,5/10 (solide contre la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forensique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standard, faillible face à SIGKILL et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kernel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root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).</w:t>
      </w:r>
      <w:r w:rsidRPr="00DD77C2">
        <w:rPr>
          <w:rFonts w:ascii="inherit" w:eastAsia="Times New Roman" w:hAnsi="inherit" w:cs="Segoe UI"/>
          <w:sz w:val="24"/>
          <w:szCs w:val="24"/>
          <w:lang w:eastAsia="fr-FR"/>
        </w:rPr>
        <w:br/>
      </w:r>
      <w:r w:rsidRPr="00DD77C2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fr-FR"/>
        </w:rPr>
        <w:lastRenderedPageBreak/>
        <w:t>Valeur marchande</w:t>
      </w:r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: 200 000 € – 350 000 € en l’état (</w:t>
      </w:r>
      <w:proofErr w:type="spellStart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>PoC</w:t>
      </w:r>
      <w:proofErr w:type="spellEnd"/>
      <w:r w:rsidRPr="00DD77C2">
        <w:rPr>
          <w:rFonts w:ascii="Segoe UI" w:eastAsia="Times New Roman" w:hAnsi="Segoe UI" w:cs="Segoe UI"/>
          <w:sz w:val="24"/>
          <w:szCs w:val="24"/>
          <w:lang w:eastAsia="fr-FR"/>
        </w:rPr>
        <w:t xml:space="preserve"> validé matériellement) ; la fourchette 2–5 M€ est inaccessible sans les livrables V1 à V6 réalisés et un audit tiers positif.</w:t>
      </w:r>
    </w:p>
    <w:p w:rsidR="00CF41E8" w:rsidRDefault="00CF41E8">
      <w:bookmarkStart w:id="0" w:name="_GoBack"/>
      <w:bookmarkEnd w:id="0"/>
    </w:p>
    <w:sectPr w:rsidR="00CF4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83C8E"/>
    <w:multiLevelType w:val="multilevel"/>
    <w:tmpl w:val="B38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48795A"/>
    <w:multiLevelType w:val="multilevel"/>
    <w:tmpl w:val="6E6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D50E17"/>
    <w:multiLevelType w:val="multilevel"/>
    <w:tmpl w:val="91A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F555AA"/>
    <w:multiLevelType w:val="multilevel"/>
    <w:tmpl w:val="62F8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7C2"/>
    <w:rsid w:val="00CF41E8"/>
    <w:rsid w:val="00DD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CF78EE-CE2C-4CD8-BA92-2B6D4DF8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9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6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8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374844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8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264219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76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9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07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6086612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8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51650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5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8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8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3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809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49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9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0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8583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1977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2026-08-31T00:01:00Z</dcterms:created>
  <dcterms:modified xsi:type="dcterms:W3CDTF">2026-08-31T00:01:00Z</dcterms:modified>
</cp:coreProperties>
</file>