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Pekuna – Clarity in Crypto Taxes</w:t>
      </w:r>
    </w:p>
    <w:p/>
    <w:p>
      <w:r>
        <w:t>Contact: Werner Hoffmann</w:t>
      </w:r>
    </w:p>
    <w:p>
      <w:r>
        <w:t>Email: kontakt@pekuna.de</w:t>
      </w:r>
    </w:p>
    <w:p>
      <w:r>
        <w:t>Phone: 030 - 57713593</w:t>
      </w:r>
    </w:p>
    <w:p/>
    <w:p>
      <w:r>
        <w:t>Berlin, 10.10.2024</w:t>
      </w:r>
    </w:p>
    <w:p>
      <w:r>
        <w:t>Version: 3.0</w:t>
      </w:r>
    </w:p>
    <w:p/>
    <w:p>
      <w:r>
        <w:t>Expert Opinion on the Assessment of the Origin of Assets in Connection with Cryptocurrencies</w:t>
      </w:r>
    </w:p>
    <w:p>
      <w:r>
        <w:t>(Source of Funds Report)</w:t>
      </w:r>
    </w:p>
    <w:p/>
    <w:p>
      <w:r>
        <w:t>Prepared for:</w:t>
      </w:r>
    </w:p>
    <w:p>
      <w:r>
        <w:t>Mr. XXX</w:t>
      </w:r>
    </w:p>
    <w:p/>
    <w:p>
      <w:r>
        <w:t>Period:</w:t>
      </w:r>
    </w:p>
    <w:p>
      <w:r>
        <w:t>2018 – 2024</w:t>
      </w:r>
    </w:p>
    <w:p/>
    <w:p>
      <w:r>
        <w:t>Valuation date:</w:t>
      </w:r>
    </w:p>
    <w:p>
      <w:r>
        <w:t>30.06.2024</w:t>
      </w:r>
    </w:p>
    <w:p/>
    <w:p>
      <w:r>
        <w:t>Blockchain Analyst:</w:t>
      </w:r>
    </w:p>
    <w:p>
      <w:r>
        <w:t>Kevin Wischmann (k.wischmann@pekuna.de)</w:t>
      </w:r>
    </w:p>
    <w:p/>
    <w:p>
      <w:r>
        <w:t>1. Introduction</w:t>
      </w:r>
    </w:p>
    <w:p/>
    <w:p>
      <w:r>
        <w:t>This report was prepared by Pekuna to provide a comprehensive analysis of the origin of funds (Source of Funds) and the development of the client’s cryptocurrency portfolio. The aim is to provide transparent and detailed evidence of the origin of assets related to cryptocurrency investments. Based on the submitted account statements and an in-depth analysis of the blockchain transaction history, a precise review of incoming funds and the extraordinary performance of the portfolio was conducted. Special risk-related activities were also reviewed in order to comply with anti‑money‑laundering requirements.</w:t>
      </w:r>
    </w:p>
    <w:p/>
    <w:p>
      <w:r>
        <w:t>2. Summary</w:t>
      </w:r>
    </w:p>
    <w:p/>
    <w:p>
      <w:r>
        <w:t>Pekuna GmbH hereby confirms that the portfolio of Mr. Seidel had a total value of EUR 218,126 as of 30.06.2024.</w:t>
      </w:r>
    </w:p>
    <w:p/>
    <w:p>
      <w:r>
        <w:t>No irregularities were identified under anti‑money‑laundering regulations.</w:t>
      </w:r>
    </w:p>
    <w:p/>
    <w:p>
      <w:r>
        <w:t>3. About Pekuna</w:t>
      </w:r>
    </w:p>
    <w:p/>
    <w:p>
      <w:r>
        <w:t>Pekuna is a service provider specializing in the preparation of crypto transaction data. We focus on tracing and analyzing cryptocurrency transactions and offer comprehensive solutions for documenting and verifying tax calculations and sources of assets. With extensive expertise in blockchain analytics and an experienced team of finance and crypto experts, we are qualified to prepare well‑founded documentation regarding the origin and development of cryptocurrency portfolios.</w:t>
      </w:r>
    </w:p>
    <w:p/>
    <w:p>
      <w:r>
        <w:t>Our analyses are based on state‑of‑the‑art technologies and complete transaction traceability, enabling us to produce precise and reliable reports that meet regulatory requirements and compliance standards. Through many years of cooperation with tax advisors, banks, and financial institutions, we are able to present complex crypto portfolios transparently and clearly.</w:t>
      </w:r>
    </w:p>
    <w:p/>
    <w:p>
      <w:r>
        <w:t>4. Documentation</w:t>
      </w:r>
    </w:p>
    <w:p/>
    <w:p>
      <w:r>
        <w:t>Our client traded cryptocurrencies on various exchanges. The analysis of income from cryptocurrency trading is based on all transaction data from these exchanges. The transaction data and associated wallet addresses were provided to us by the client.</w:t>
      </w:r>
    </w:p>
    <w:p/>
    <w:p>
      <w:r>
        <w:t>The documents and information provided were checked on a sample basis for completeness and plausibility. No indications were found that the information was incorrect, contradictory, or incomplete. The calculations in this report are subject to the assumption that the documents provided correspond to actual circumstances.</w:t>
      </w:r>
    </w:p>
    <w:p/>
    <w:p>
      <w:r>
        <w:t>Mr. Seidel acquired, exchanged, and sold cryptocurrencies on two trading platforms: Binance and Coinbase.</w:t>
      </w:r>
    </w:p>
    <w:p/>
    <w:p>
      <w:r>
        <w:t>To obtain a detailed overview of all crypto‑specific assets, the professional tool CoinTracking was used. All transactions were imported into and verified within the existing CoinTracking account.</w:t>
      </w:r>
    </w:p>
    <w:p/>
    <w:p>
      <w:r>
        <w:t>This tool enables a precise overview of assets through the upload of all trading data from crypto exchanges and wallets. It also identifies inconsistencies and errors, which were corrected where possible.</w:t>
      </w:r>
    </w:p>
    <w:p/>
    <w:p>
      <w:r>
        <w:t>Based on the evaluation of all submitted data, the following result was determined. The composition of these results is explained in detail below.</w:t>
      </w:r>
    </w:p>
    <w:p/>
    <w:p>
      <w:r>
        <w:t>5. Source of Funds (Fiat Currency)</w:t>
      </w:r>
    </w:p>
    <w:p/>
    <w:p>
      <w:r>
        <w:t>This section analyzes the origin of funds used in deposit transactions. The objective is to verify the lawful origin of financial resources and provide transparency regarding the sources of invested funds. Relevant financial activities—including income, investments, and other capital inflows—were examined in detail to ensure compliance with regulatory requirements.</w:t>
      </w:r>
    </w:p>
    <w:p/>
    <w:p>
      <w:r>
        <w:t>Mr. XXX began investing in cryptocurrencies in 2018.</w:t>
      </w:r>
    </w:p>
    <w:p/>
    <w:p>
      <w:r>
        <w:t>Income sources identified from the available data: salary payments.</w:t>
      </w:r>
    </w:p>
    <w:p/>
    <w:p>
      <w:r>
        <w:t>Mr. XXX, address Berlin, states that he is employed at KPMG AG Wirtschaftsprüfungsgesellschaft. Funds originate from regular salary payments. This statement was verified using submitted bank statements. Monthly net income between EUR 3,047.14 and EUR 4,401.59 was observed during relevant periods.</w:t>
      </w:r>
    </w:p>
    <w:p/>
    <w:p>
      <w:r>
        <w:t>Between 2018 and 2024, total estimated net salary income exceeded EUR 300,000.</w:t>
      </w:r>
    </w:p>
    <w:p/>
    <w:p>
      <w:r>
        <w:t>During the same period, cryptocurrencies totaling EUR 59,498 were acquired. This is consistent with the client’s economic circumstances.</w:t>
      </w:r>
    </w:p>
    <w:p/>
    <w:p>
      <w:r>
        <w:t>The documented salary payments are sufficient to cover the investments made.</w:t>
      </w:r>
    </w:p>
    <w:p/>
    <w:p>
      <w:r>
        <w:t>6. Source of Wealth (Portfolio Performance)</w:t>
      </w:r>
    </w:p>
    <w:p/>
    <w:p>
      <w:r>
        <w:t>The development of the client’s portfolio results exclusively from price increases in held and traded cryptocurrencies. No additional income sources such as staking, lending, DeFi, or external capital inflows were identified.</w:t>
      </w:r>
    </w:p>
    <w:p/>
    <w:p>
      <w:r>
        <w:t>The portfolio increased from EUR 62,000 in January 2024 to EUR 621,500 at its peak on 12.04.2024. This deviation from general market trends is largely explained by the composition of the portfolio, particularly the significant share of CKB (Nervos Network).</w:t>
      </w:r>
    </w:p>
    <w:p/>
    <w:p>
      <w:r>
        <w:t>7. Tax Documentation</w:t>
      </w:r>
    </w:p>
    <w:p/>
    <w:p>
      <w:r>
        <w:t>Tax assessments from 2018 to 2021 were reviewed. Gains and losses from private disposal transactions were considered for tax purposes as follows:</w:t>
      </w:r>
    </w:p>
    <w:p/>
    <w:p>
      <w:r>
        <w:t>2018: EUR 0</w:t>
      </w:r>
    </w:p>
    <w:p>
      <w:r>
        <w:t>2019: EUR -11,398</w:t>
      </w:r>
    </w:p>
    <w:p>
      <w:r>
        <w:t>2020: EUR -18,274</w:t>
      </w:r>
    </w:p>
    <w:p>
      <w:r>
        <w:t>2021: EUR 65,989</w:t>
      </w:r>
    </w:p>
    <w:p/>
    <w:p>
      <w:r>
        <w:t>8. Portfolio Composition Over Time</w:t>
      </w:r>
    </w:p>
    <w:p/>
    <w:p>
      <w:r>
        <w:t>A detailed analysis shows that CKB represented nearly 100% of the portfolio from 2021 onward and between 11% and 20% between September 2018 and January 2020. Smaller cryptocurrencies such as CKB often exhibit higher volatility, explaining the portfolio’s above‑average performance.</w:t>
      </w:r>
    </w:p>
    <w:p/>
    <w:p>
      <w:r>
        <w:t>Additional investments included ADA, EGLD, INJ, and VET. These assets formed the basis for acquiring CKB.</w:t>
      </w:r>
    </w:p>
    <w:p/>
    <w:p>
      <w:r>
        <w:t>SHIB was another investment acquired in 2021, reaching approximately EUR 22,069 at peak value.</w:t>
      </w:r>
    </w:p>
    <w:p/>
    <w:p>
      <w:r>
        <w:t>As of 31.12.2023:</w:t>
      </w:r>
    </w:p>
    <w:p>
      <w:r>
        <w:t>20,047,380.95 CKB</w:t>
      </w:r>
    </w:p>
    <w:p>
      <w:r>
        <w:t>317,786,673.49 SHIB</w:t>
      </w:r>
    </w:p>
    <w:p/>
    <w:p>
      <w:r>
        <w:t>9. Analysis of CKB</w:t>
      </w:r>
    </w:p>
    <w:p/>
    <w:p>
      <w:r>
        <w:t>Nervos Network (CKB) is a Layer‑1 blockchain designed to address scalability and interoperability challenges. It uses a Proof‑of‑Work consensus mechanism and supports Layer‑2 solutions.</w:t>
      </w:r>
    </w:p>
    <w:p/>
    <w:p>
      <w:r>
        <w:t>A tenfold increase in price in April 2024 significantly contributed to portfolio growth.</w:t>
      </w:r>
    </w:p>
    <w:p/>
    <w:p>
      <w:r>
        <w:t>10. Review of Crypto‑Specific High‑Risk Activities</w:t>
      </w:r>
    </w:p>
    <w:p/>
    <w:p>
      <w:r>
        <w:t>The following potential risk indicators were reviewed:</w:t>
      </w:r>
    </w:p>
    <w:p/>
    <w:p>
      <w:r>
        <w:t>• Unusually high number of wallets – none identified</w:t>
      </w:r>
    </w:p>
    <w:p>
      <w:r>
        <w:t>• Layering – none identified</w:t>
      </w:r>
    </w:p>
    <w:p>
      <w:r>
        <w:t>• Mixing/tumbling services – none identified</w:t>
      </w:r>
    </w:p>
    <w:p>
      <w:r>
        <w:t>• Smurfing – none identified</w:t>
      </w:r>
    </w:p>
    <w:p>
      <w:r>
        <w:t>• Privacy coin usage – limited ENG trading in 2019, fully documented</w:t>
      </w:r>
    </w:p>
    <w:p>
      <w:r>
        <w:t>• Unknown wallets – none identified</w:t>
      </w:r>
    </w:p>
    <w:p>
      <w:r>
        <w:t>• Unregulated exchanges or P2P platforms – none identified</w:t>
      </w:r>
    </w:p>
    <w:p>
      <w:r>
        <w:t>• Irregular trading patterns – none identified</w:t>
      </w:r>
    </w:p>
    <w:p>
      <w:r>
        <w:t>• DeFi usage – none identified</w:t>
      </w:r>
    </w:p>
    <w:p>
      <w:r>
        <w:t>• Chain hopping – none identified</w:t>
      </w:r>
    </w:p>
    <w:p>
      <w:r>
        <w:t>• High‑risk fiat withdrawals – none identified</w:t>
      </w:r>
    </w:p>
    <w:p>
      <w:r>
        <w:t>• Circular trading – none identified</w:t>
      </w:r>
    </w:p>
    <w:p>
      <w:r>
        <w:t>• Dead hops – none identified</w:t>
      </w:r>
    </w:p>
    <w:p>
      <w:r>
        <w:t>• Double swaps – none identified</w:t>
      </w:r>
    </w:p>
    <w:p/>
    <w:p>
      <w:r>
        <w:t>Overall risk assessment:</w:t>
      </w:r>
    </w:p>
    <w:p>
      <w:r>
        <w:t>No increased money‑laundering risk identified.</w:t>
      </w:r>
    </w:p>
    <w:p/>
    <w:p>
      <w:r>
        <w:t>11. Portfolio Composition as of 30.06.2024</w:t>
      </w:r>
    </w:p>
    <w:p/>
    <w:p>
      <w:r>
        <w:t>CKB, SHIB, BTC, ETH, XRP, and VTHO holdings are included. Gains are unrealized and shown for informational purposes only.</w:t>
      </w:r>
    </w:p>
    <w:p/>
    <w:p>
      <w:r>
        <w:t>12. Withdrawal on xx.xx.2025</w:t>
      </w:r>
    </w:p>
    <w:p/>
    <w:p>
      <w:r>
        <w:t>This section will be supplemented later to ensure completeness following execution of the planned transaction.</w:t>
      </w:r>
    </w:p>
    <w:p/>
    <w:p>
      <w:r>
        <w:t>Supplement dated xx.xx.20xx:</w:t>
      </w:r>
    </w:p>
    <w:p>
      <w:r>
        <w:t>On xx.xx.2025, the client sold xx.xx CKB on exchange xx for xx.xx EUR. Funds were transferred to a bank account in the client’s name.</w:t>
      </w:r>
    </w:p>
    <w:p/>
    <w:p>
      <w:r>
        <w:t>13. Conclusion</w:t>
      </w:r>
    </w:p>
    <w:p/>
    <w:p>
      <w:r>
        <w:t>Bank statements, exchange deposits, and trading histories were analyzed thoroughly.</w:t>
      </w:r>
    </w:p>
    <w:p/>
    <w:p>
      <w:r>
        <w:t>No indications of money‑laundering or other criminal activity were identified.</w:t>
      </w:r>
    </w:p>
    <w:p/>
    <w:p>
      <w:r>
        <w:t>Portfolio development is economically plausible and consistent with market performance.</w:t>
      </w:r>
    </w:p>
    <w:p/>
    <w:p>
      <w:r>
        <w:t>All transaction histories are verifiable via blockchain records.</w:t>
      </w:r>
    </w:p>
    <w:p/>
    <w:p>
      <w:r>
        <w:t>14. Notes</w:t>
      </w:r>
    </w:p>
    <w:p/>
    <w:p>
      <w:r>
        <w:t>This report does not constitute legal advice.</w:t>
      </w:r>
    </w:p>
    <w:p/>
    <w:p>
      <w:r>
        <w:t>Due to legal uncertainties related to cryptocurrencies, completeness and correctness cannot be guaranteed. Deviating assessments by tax advisors, financial authorities, or courts cannot be excluded.</w:t>
      </w:r>
    </w:p>
    <w:p/>
    <w:p>
      <w:r>
        <w:t>This report does not establish legal claims against banks or financial institutions. Pekuna assumes no liability if the report is not accepted.</w:t>
      </w:r>
    </w:p>
    <w:p/>
    <w:p>
      <w:r>
        <w:t>Results apply only if underlying data provided by the client is complete and accurate.</w:t>
      </w:r>
    </w:p>
    <w:p/>
    <w:p>
      <w:r>
        <w:t>Berlin, 10.10.2024</w:t>
      </w:r>
    </w:p>
    <w:p/>
    <w:p>
      <w:r>
        <w:t>Prepared by:</w:t>
      </w:r>
    </w:p>
    <w:p>
      <w:r>
        <w:t>Werner Hoffmann</w:t>
      </w:r>
    </w:p>
    <w:p>
      <w:r>
        <w:t>Dipl. Finanzwirt (FH), BSc Computer Science</w:t>
      </w:r>
    </w:p>
    <w:p/>
    <w:p>
      <w:r>
        <w:t>Pekuna GmbH</w:t>
      </w:r>
    </w:p>
    <w:p>
      <w:r>
        <w:t>Rheinsberger Str. 76/77</w:t>
      </w:r>
    </w:p>
    <w:p>
      <w:r>
        <w:t>10115 Berlin</w:t>
      </w:r>
    </w:p>
    <w:p>
      <w:r>
        <w:t>Germany</w:t>
      </w:r>
    </w:p>
    <w:p/>
    <w:p>
      <w:r>
        <w:t>Phone: 030-57713593</w:t>
      </w:r>
    </w:p>
    <w:p>
      <w:r>
        <w:t>Email: info@pekuna.de</w:t>
      </w:r>
    </w:p>
    <w:p>
      <w:r>
        <w:t>Web: pekuna.de</w:t>
      </w:r>
    </w:p>
    <w:p/>
    <w:p>
      <w:r>
        <w:t>Managing Directors:</w:t>
      </w:r>
    </w:p>
    <w:p>
      <w:r>
        <w:t>Werner Hoffmann</w:t>
      </w:r>
    </w:p>
    <w:p>
      <w:r>
        <w:t>Constantin Steininger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