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5.2 Planificación y organización</w:t>
      </w:r>
    </w:p>
    <w:p>
      <w:pPr>
        <w:jc w:val="center"/>
      </w:pPr>
      <w:r>
        <w:rPr>
          <w:b/>
          <w:sz w:val="24"/>
        </w:rPr>
        <w:t>5.2.1   Cronograma de Actividades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rHeight w:val="329"/>
        </w:trPr>
        <w:tc>
          <w:tcPr>
            <w:tcW w:type="dxa" w:w="646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ACTIVIDADES</w:t>
            </w:r>
          </w:p>
        </w:tc>
        <w:tc>
          <w:tcPr>
            <w:tcW w:type="dxa" w:w="2584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MAYO</w:t>
            </w:r>
          </w:p>
        </w:tc>
        <w:tc>
          <w:tcPr>
            <w:tcW w:type="dxa" w:w="2584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JUNIO</w:t>
            </w:r>
          </w:p>
        </w:tc>
        <w:tc>
          <w:tcPr>
            <w:tcW w:type="dxa" w:w="2584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JULIO</w:t>
            </w:r>
          </w:p>
        </w:tc>
        <w:tc>
          <w:tcPr>
            <w:tcW w:type="dxa" w:w="2584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AGOSTO</w:t>
            </w:r>
          </w:p>
        </w:tc>
        <w:tc>
          <w:tcPr>
            <w:tcW w:type="dxa" w:w="2584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SEPTIEMBRE</w:t>
            </w:r>
          </w:p>
        </w:tc>
        <w:tc>
          <w:tcPr>
            <w:tcW w:type="dxa" w:w="2584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OCTUBRE</w:t>
            </w:r>
          </w:p>
        </w:tc>
      </w:tr>
      <w:tr>
        <w:trPr>
          <w:trHeight w:val="329"/>
        </w:trPr>
        <w:tc>
          <w:tcPr>
            <w:tcW w:type="dxa" w:w="646"/>
            <w:vMerge/>
          </w:tcPr>
          <w:p/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4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4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4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4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4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4</w:t>
            </w:r>
          </w:p>
        </w:tc>
      </w:tr>
      <w:tr>
        <w:trPr>
          <w:trHeight w:val="351"/>
        </w:trPr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Definición de tema</w:t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trHeight w:val="351"/>
        </w:trPr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Hallar problema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trHeight w:val="351"/>
        </w:trPr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Definición de objetivos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trHeight w:val="351"/>
        </w:trPr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Encuesta diagnóstica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trHeight w:val="351"/>
        </w:trPr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Investigación de contenidos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trHeight w:val="351"/>
        </w:trPr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Bocetos a lápiz de la página web</w:t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trHeight w:val="351"/>
        </w:trPr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Programación de la página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trHeight w:val="351"/>
        </w:trPr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Redacción de documentación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trHeight w:val="351"/>
        </w:trPr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Revisión general de proyecto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trHeight w:val="351"/>
        </w:trPr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Implementación de IA de ajedrez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trHeight w:val="351"/>
        </w:trPr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Diseño de las piezas de ajedrez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trHeight w:val="351"/>
        </w:trPr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Implementación del proyecto</w:t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  <w:shd w:fill="4F9CD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64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jc w:val="center"/>
      </w:pPr>
      <w:r>
        <w:rPr>
          <w:b/>
          <w:sz w:val="18"/>
        </w:rPr>
        <w:t>Tabla 2: Cronograma de Actividades en Diagrama de Gantt</w:t>
      </w:r>
    </w:p>
    <w:p>
      <w:pPr>
        <w:jc w:val="center"/>
      </w:pPr>
      <w:r>
        <w:rPr>
          <w:i/>
          <w:sz w:val="18"/>
        </w:rPr>
        <w:t>Fuente: Elaboración propia, 2024</w:t>
      </w:r>
    </w:p>
    <w:sectPr w:rsidR="00FC693F" w:rsidRPr="0006063C" w:rsidSect="00034616">
      <w:pgSz w:w="16838" w:h="11906" w:orient="landscape"/>
      <w:pgMar w:top="397" w:right="340" w:bottom="397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