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pPr>
      <w:r>
        <w:t xml:space="preserve">Biomedical RAG · V4 Evaluation</w:t>
      </w:r>
    </w:p>
    <w:p>
      <w:pPr>
        <w:spacing w:after="100"/>
      </w:pPr>
      <w:r>
        <w:t xml:space="preserve">Concise project guide • 12 October 2026</w:t>
      </w:r>
    </w:p>
    <w:p>
      <w:pPr>
        <w:pStyle w:val="Heading2"/>
        <w:keepNext/>
        <w:spacing w:after="100" w:before="140"/>
      </w:pPr>
      <w:r>
        <w:t xml:space="preserve">What V4 added</w:t>
      </w:r>
    </w:p>
    <w:p>
      <w:pPr>
        <w:spacing w:after="100"/>
      </w:pPr>
      <w:r>
        <w:t xml:space="preserve">V4 evaluates the existing V3 LangGraph workflow. A JSON dataset supplies reference questions, an HTTP runner records API answers, and a context-capture runner records the passages and decisions inside the graph. No model training is performed.</w:t>
      </w:r>
    </w:p>
    <w:p>
      <w:pPr>
        <w:pStyle w:val="Heading2"/>
        <w:keepNext/>
        <w:spacing w:after="100" w:before="140"/>
      </w:pPr>
      <w:r>
        <w:t xml:space="preserve">The workflow</w:t>
      </w:r>
    </w:p>
    <w:p>
      <w:pPr>
        <w:shd w:fill="F1F5F7" w:val="clear"/>
        <w:spacing w:after="0" w:line="220"/>
      </w:pPr>
      <w:r>
        <w:rPr>
          <w:rFonts w:ascii="Courier New" w:cs="Courier New" w:eastAsia="Courier New" w:hAnsi="Courier New"/>
          <w:sz w:val="17"/>
          <w:szCs w:val="17"/>
        </w:rPr>
        <w:t xml:space="preserve">Question → retrieve candidates → rerank → grade context</w:t>
      </w:r>
    </w:p>
    <w:p>
      <w:pPr>
        <w:shd w:fill="F1F5F7" w:val="clear"/>
        <w:spacing w:after="0" w:line="220"/>
      </w:pPr>
      <w:r>
        <w:rPr>
          <w:rFonts w:ascii="Courier New" w:cs="Courier New" w:eastAsia="Courier New" w:hAnsi="Courier New"/>
          <w:sz w:val="17"/>
          <w:szCs w:val="17"/>
        </w:rPr>
        <w:t xml:space="preserve">YES → generate answer</w:t>
      </w:r>
    </w:p>
    <w:p>
      <w:pPr>
        <w:shd w:fill="F1F5F7" w:val="clear"/>
        <w:spacing w:after="0" w:line="220"/>
      </w:pPr>
      <w:r>
        <w:rPr>
          <w:rFonts w:ascii="Courier New" w:cs="Courier New" w:eastAsia="Courier New" w:hAnsi="Courier New"/>
          <w:sz w:val="17"/>
          <w:szCs w:val="17"/>
        </w:rPr>
        <w:t xml:space="preserve">NO → rewrite query once → retrieve → rerank → grade</w:t>
      </w:r>
    </w:p>
    <w:p>
      <w:pPr>
        <w:shd w:fill="F1F5F7" w:val="clear"/>
        <w:spacing w:after="0" w:line="220"/>
      </w:pPr>
      <w:r>
        <w:rPr>
          <w:rFonts w:ascii="Courier New" w:cs="Courier New" w:eastAsia="Courier New" w:hAnsi="Courier New"/>
          <w:sz w:val="17"/>
          <w:szCs w:val="17"/>
        </w:rPr>
        <w:t xml:space="preserve">Second YES → generate | Second NO → fallback</w:t>
      </w:r>
    </w:p>
    <w:p>
      <w:pPr>
        <w:spacing w:after="100"/>
      </w:pPr>
      <w:r>
        <w:t xml:space="preserve">Reranking selects passages. The context grader decides whether the selected evidence is sufficient. Routing uses that decision and the rewrite count; it is not based directly on a reranker score.</w:t>
      </w:r>
    </w:p>
    <w:p>
      <w:pPr>
        <w:pStyle w:val="Heading2"/>
        <w:keepNext/>
        <w:spacing w:after="100" w:before="140"/>
      </w:pPr>
      <w:r>
        <w:t xml:space="preserve">Why use both reranking and context grading?</w:t>
      </w:r>
    </w:p>
    <w:p>
      <w:pPr>
        <w:spacing w:after="100"/>
      </w:pPr>
      <w:r>
        <w:t xml:space="preserve">Reranking asks which retrieved chunks are most useful for the question and keeps the top three. The LLM grader asks whether those selected chunks together contain enough evidence to answer. The grader sees only the selected chunks, not every retrieval candidate.</w:t>
      </w:r>
    </w:p>
    <w:p>
      <w:pPr>
        <w:spacing w:after="100"/>
      </w:pPr>
      <w:r>
        <w:t xml:space="preserve">Reranking limits the text sent to the LLM, helping control input size and cost, but it can discard useful evidence, as NS013 showed. It is optional: sending more candidates directly to the grader is an alternative to evaluate for evidence coverage, input size and cost.</w:t>
      </w:r>
    </w:p>
    <w:p>
      <w:pPr>
        <w:pStyle w:val="Heading2"/>
        <w:keepNext/>
        <w:spacing w:after="100" w:before="140"/>
      </w:pPr>
      <w:r>
        <w:t xml:space="preserve">Two ways we tested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cantSplit/>
          <w:tblHeader/>
        </w:trPr>
        <w:tc>
          <w:tcPr>
            <w:tcW w:type="dxa" w:w="2700"/>
            <w:shd w:fill="19394D" w:val="clear"/>
            <w:tcMar>
              <w:top w:type="dxa" w:w="65"/>
              <w:left w:type="dxa" w:w="110"/>
              <w:bottom w:type="dxa" w:w="65"/>
              <w:right w:type="dxa" w:w="110"/>
            </w:tcMar>
          </w:tcPr>
          <w:p>
            <w:pPr>
              <w:spacing w:after="30"/>
            </w:pPr>
            <w:r>
              <w:rPr>
                <w:b/>
                <w:bCs/>
                <w:color w:val="FFFFFF"/>
                <w:sz w:val="19"/>
                <w:szCs w:val="19"/>
              </w:rPr>
              <w:t xml:space="preserve">Runner</w:t>
            </w:r>
          </w:p>
        </w:tc>
        <w:tc>
          <w:tcPr>
            <w:tcW w:type="dxa" w:w="6500"/>
            <w:shd w:fill="19394D" w:val="clear"/>
            <w:tcMar>
              <w:top w:type="dxa" w:w="65"/>
              <w:left w:type="dxa" w:w="110"/>
              <w:bottom w:type="dxa" w:w="65"/>
              <w:right w:type="dxa" w:w="110"/>
            </w:tcMar>
          </w:tcPr>
          <w:p>
            <w:pPr>
              <w:spacing w:after="30"/>
            </w:pPr>
            <w:r>
              <w:rPr>
                <w:b/>
                <w:bCs/>
                <w:color w:val="FFFFFF"/>
                <w:sz w:val="19"/>
                <w:szCs w:val="19"/>
              </w:rPr>
              <w:t xml:space="preserve">What it records</w:t>
            </w:r>
          </w:p>
        </w:tc>
      </w:tr>
      <w:tr>
        <w:trPr>
          <w:cantSplit/>
          <w:tblHeader w:val="false"/>
        </w:trPr>
        <w:tc>
          <w:tcPr>
            <w:tcW w:type="dxa" w:w="2700"/>
            <w:shd w:fill="F0F5F7" w:val="clear"/>
            <w:tcMar>
              <w:top w:type="dxa" w:w="65"/>
              <w:left w:type="dxa" w:w="110"/>
              <w:bottom w:type="dxa" w:w="65"/>
              <w:right w:type="dxa" w:w="110"/>
            </w:tcMar>
          </w:tcPr>
          <w:p>
            <w:pPr>
              <w:spacing w:after="30"/>
            </w:pPr>
            <w:r>
              <w:rPr>
                <w:b w:val="false"/>
                <w:bCs w:val="false"/>
                <w:color w:val="203447"/>
                <w:sz w:val="19"/>
                <w:szCs w:val="19"/>
              </w:rPr>
              <w:t xml:space="preserve">run_baseline.py</w:t>
            </w:r>
          </w:p>
        </w:tc>
        <w:tc>
          <w:tcPr>
            <w:tcW w:type="dxa" w:w="6500"/>
            <w:shd w:fill="F0F5F7" w:val="clear"/>
            <w:tcMar>
              <w:top w:type="dxa" w:w="65"/>
              <w:left w:type="dxa" w:w="110"/>
              <w:bottom w:type="dxa" w:w="65"/>
              <w:right w:type="dxa" w:w="110"/>
            </w:tcMar>
          </w:tcPr>
          <w:p>
            <w:pPr>
              <w:spacing w:after="30"/>
            </w:pPr>
            <w:r>
              <w:rPr>
                <w:b w:val="false"/>
                <w:bCs w:val="false"/>
                <w:color w:val="203447"/>
                <w:sz w:val="19"/>
                <w:szCs w:val="19"/>
              </w:rPr>
              <w:t xml:space="preserve">Calls the running FastAPI /ask/ endpoint: answer, sources and elapsed time. Uvicorn must be running.</w:t>
            </w:r>
          </w:p>
        </w:tc>
      </w:tr>
      <w:tr>
        <w:trPr>
          <w:cantSplit/>
          <w:tblHeader w:val="false"/>
        </w:trPr>
        <w:tc>
          <w:tcPr>
            <w:tcW w:type="dxa" w:w="2700"/>
            <w:shd w:fill="FFFFFF" w:val="clear"/>
            <w:tcMar>
              <w:top w:type="dxa" w:w="65"/>
              <w:left w:type="dxa" w:w="110"/>
              <w:bottom w:type="dxa" w:w="65"/>
              <w:right w:type="dxa" w:w="110"/>
            </w:tcMar>
          </w:tcPr>
          <w:p>
            <w:pPr>
              <w:spacing w:after="30"/>
            </w:pPr>
            <w:r>
              <w:rPr>
                <w:b w:val="false"/>
                <w:bCs w:val="false"/>
                <w:color w:val="203447"/>
                <w:sz w:val="19"/>
                <w:szCs w:val="19"/>
              </w:rPr>
              <w:t xml:space="preserve">capture_context.py</w:t>
            </w:r>
          </w:p>
        </w:tc>
        <w:tc>
          <w:tcPr>
            <w:tcW w:type="dxa" w:w="6500"/>
            <w:shd w:fill="FFFFFF" w:val="clear"/>
            <w:tcMar>
              <w:top w:type="dxa" w:w="65"/>
              <w:left w:type="dxa" w:w="110"/>
              <w:bottom w:type="dxa" w:w="65"/>
              <w:right w:type="dxa" w:w="110"/>
            </w:tcMar>
          </w:tcPr>
          <w:p>
            <w:pPr>
              <w:spacing w:after="30"/>
            </w:pPr>
            <w:r>
              <w:rPr>
                <w:b w:val="false"/>
                <w:bCs w:val="false"/>
                <w:color w:val="203447"/>
                <w:sz w:val="19"/>
                <w:szCs w:val="19"/>
              </w:rPr>
              <w:t xml:space="preserve">Runs the graph directly: candidate passages, selected passages, grading, rewrite and final answer. Uvicorn is not required.</w:t>
            </w:r>
          </w:p>
        </w:tc>
      </w:tr>
    </w:tbl>
    <w:p>
      <w:pPr>
        <w:spacing w:after="100"/>
      </w:pPr>
      <w:r>
        <w:t xml:space="preserve">Node-update streaming means the graph reports each node’s state changes as it finishes. The capture script saves these updates in JSON for inspection. A new trace is a new execution; it cannot prove which passages an earlier API execution used.</w:t>
      </w:r>
    </w:p>
    <w:p>
      <w:pPr>
        <w:pStyle w:val="Heading2"/>
        <w:keepNext/>
        <w:spacing w:after="100" w:before="140"/>
      </w:pPr>
      <w:r>
        <w:t xml:space="preserve">Reference questions</w:t>
      </w:r>
    </w:p>
    <w:p>
      <w:pPr>
        <w:spacing w:after="100"/>
      </w:pPr>
      <w:r>
        <w:t xml:space="preserve">Humans can write questions and reference answers; AI can draft them too. References should be checked against the source by a reviewer. Here, six cases were explicitly approved by the user; the other 14 are draft labels pending recorded review. JSON makes these cases easy for Python to read and results easy to compare.</w:t>
      </w:r>
    </w:p>
    <w:p>
      <w:pPr>
        <w:pStyle w:val="Heading2"/>
        <w:keepNext/>
        <w:spacing w:after="100" w:before="140"/>
      </w:pPr>
      <w:r>
        <w:t xml:space="preserve">V4 evidence and V5 tests</w:t>
      </w:r>
    </w:p>
    <w:p>
      <w:pPr>
        <w:spacing w:after="100"/>
      </w:pPr>
      <w:r>
        <w:t xml:space="preserve">Correctly written code follows its instructions: retrieval using search_query does not randomly switch to original_question. Tests check whether the implementation matches our intended rules and catch regressions after code changes; they do not make correct code follow its rules. Hypothetical mistakes are examples, not faults found in this project.</w:t>
      </w:r>
    </w:p>
    <w:p>
      <w:pPr>
        <w:spacing w:after="100"/>
      </w:pPr>
      <w:r>
        <w:t xml:space="preserve">Unit tests (test_v5.py) check individual functions. Example: give the routing function NO and rewrite_count = 1; it must return fallback. All 18 unit tests passed against the user’s current files.</w:t>
      </w:r>
    </w:p>
    <w:p>
      <w:pPr>
        <w:spacing w:after="100"/>
      </w:pPr>
      <w:r>
        <w:t xml:space="preserve">Graph integration tests (test_v5_graph.py) check functions working together. Example: a simulated grader returns NO, then YES. LangGraph must run retrieve → rerank → grade → rewrite → retrieve → rerank → grade → generate. The test also checks that the second retrieval uses the rewritten query. All six integration tests passed on LangGraph 1.2.11 in 0.010 seconds.</w:t>
      </w:r>
    </w:p>
    <w:p>
      <w:pPr>
        <w:spacing w:after="100"/>
      </w:pPr>
      <w:r>
        <w:t xml:space="preserve">V5 result: 18 unit tests passed in 0.002 seconds and six graph integration tests passed in 0.010 seconds against the same current graph and service hashes. Both suites use simulated dependencies. They cover function contracts, compiled graph paths and service source filtering; HTTP endpoints, real provider failures and production answer quality remain outside this suite. V4 used real retrieval and LLM calls; no V4 case reached rewrite-to-success.</w:t>
      </w:r>
    </w:p>
    <w:p>
      <w:pPr>
        <w:pStyle w:val="Heading1"/>
        <w:keepNext/>
        <w:pageBreakBefore/>
        <w:spacing w:after="200"/>
      </w:pPr>
      <w:r>
        <w:t xml:space="preserve">Results: what the run demonstrated</w:t>
      </w:r>
    </w:p>
    <w:p>
      <w:pPr>
        <w:spacing w:after="100"/>
      </w:pPr>
      <w:r>
        <w:t xml:space="preserve">The 12 October run completed 20 questions from one neuroscience document.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100"/>
        <w:gridCol w:w="5100"/>
      </w:tblGrid>
      <w:tr>
        <w:trPr>
          <w:cantSplit/>
          <w:tblHeader/>
        </w:trPr>
        <w:tc>
          <w:tcPr>
            <w:tcW w:type="dxa" w:w="4100"/>
            <w:shd w:fill="19394D" w:val="clear"/>
            <w:tcMar>
              <w:top w:type="dxa" w:w="65"/>
              <w:left w:type="dxa" w:w="110"/>
              <w:bottom w:type="dxa" w:w="65"/>
              <w:right w:type="dxa" w:w="110"/>
            </w:tcMar>
          </w:tcPr>
          <w:p>
            <w:pPr>
              <w:spacing w:after="30"/>
            </w:pPr>
            <w:r>
              <w:rPr>
                <w:b/>
                <w:bCs/>
                <w:color w:val="FFFFFF"/>
                <w:sz w:val="19"/>
                <w:szCs w:val="19"/>
              </w:rPr>
              <w:t xml:space="preserve">Observation</w:t>
            </w:r>
          </w:p>
        </w:tc>
        <w:tc>
          <w:tcPr>
            <w:tcW w:type="dxa" w:w="5100"/>
            <w:shd w:fill="19394D" w:val="clear"/>
            <w:tcMar>
              <w:top w:type="dxa" w:w="65"/>
              <w:left w:type="dxa" w:w="110"/>
              <w:bottom w:type="dxa" w:w="65"/>
              <w:right w:type="dxa" w:w="110"/>
            </w:tcMar>
          </w:tcPr>
          <w:p>
            <w:pPr>
              <w:spacing w:after="30"/>
            </w:pPr>
            <w:r>
              <w:rPr>
                <w:b/>
                <w:bCs/>
                <w:color w:val="FFFFFF"/>
                <w:sz w:val="19"/>
                <w:szCs w:val="19"/>
              </w:rPr>
              <w:t xml:space="preserve">Meaning</w:t>
            </w:r>
          </w:p>
        </w:tc>
      </w:tr>
      <w:tr>
        <w:trPr>
          <w:cantSplit/>
          <w:tblHeader w:val="false"/>
        </w:trPr>
        <w:tc>
          <w:tcPr>
            <w:tcW w:type="dxa" w:w="4100"/>
            <w:shd w:fill="F0F5F7" w:val="clear"/>
            <w:tcMar>
              <w:top w:type="dxa" w:w="65"/>
              <w:left w:type="dxa" w:w="110"/>
              <w:bottom w:type="dxa" w:w="65"/>
              <w:right w:type="dxa" w:w="110"/>
            </w:tcMar>
          </w:tcPr>
          <w:p>
            <w:pPr>
              <w:spacing w:after="30"/>
            </w:pPr>
            <w:r>
              <w:rPr>
                <w:b w:val="false"/>
                <w:bCs w:val="false"/>
                <w:color w:val="203447"/>
                <w:sz w:val="19"/>
                <w:szCs w:val="19"/>
              </w:rPr>
              <w:t xml:space="preserve">14 generated answers; 6 fallbacks</w:t>
            </w:r>
          </w:p>
        </w:tc>
        <w:tc>
          <w:tcPr>
            <w:tcW w:type="dxa" w:w="5100"/>
            <w:shd w:fill="F0F5F7" w:val="clear"/>
            <w:tcMar>
              <w:top w:type="dxa" w:w="65"/>
              <w:left w:type="dxa" w:w="110"/>
              <w:bottom w:type="dxa" w:w="65"/>
              <w:right w:type="dxa" w:w="110"/>
            </w:tcMar>
          </w:tcPr>
          <w:p>
            <w:pPr>
              <w:spacing w:after="30"/>
            </w:pPr>
            <w:r>
              <w:rPr>
                <w:b w:val="false"/>
                <w:bCs w:val="false"/>
                <w:color w:val="203447"/>
                <w:sz w:val="19"/>
                <w:szCs w:val="19"/>
              </w:rPr>
              <w:t xml:space="preserve">All 20 graph runs completed.</w:t>
            </w:r>
          </w:p>
        </w:tc>
      </w:tr>
      <w:tr>
        <w:trPr>
          <w:cantSplit/>
          <w:tblHeader w:val="false"/>
        </w:trPr>
        <w:tc>
          <w:tcPr>
            <w:tcW w:type="dxa" w:w="4100"/>
            <w:shd w:fill="FFFFFF" w:val="clear"/>
            <w:tcMar>
              <w:top w:type="dxa" w:w="65"/>
              <w:left w:type="dxa" w:w="110"/>
              <w:bottom w:type="dxa" w:w="65"/>
              <w:right w:type="dxa" w:w="110"/>
            </w:tcMar>
          </w:tcPr>
          <w:p>
            <w:pPr>
              <w:spacing w:after="30"/>
            </w:pPr>
            <w:r>
              <w:rPr>
                <w:b w:val="false"/>
                <w:bCs w:val="false"/>
                <w:color w:val="203447"/>
                <w:sz w:val="19"/>
                <w:szCs w:val="19"/>
              </w:rPr>
              <w:t xml:space="preserve">19/20 answer-or-refusal decisions matched draft labels</w:t>
            </w:r>
          </w:p>
        </w:tc>
        <w:tc>
          <w:tcPr>
            <w:tcW w:type="dxa" w:w="5100"/>
            <w:shd w:fill="FFFFFF" w:val="clear"/>
            <w:tcMar>
              <w:top w:type="dxa" w:w="65"/>
              <w:left w:type="dxa" w:w="110"/>
              <w:bottom w:type="dxa" w:w="65"/>
              <w:right w:type="dxa" w:w="110"/>
            </w:tcMar>
          </w:tcPr>
          <w:p>
            <w:pPr>
              <w:spacing w:after="30"/>
            </w:pPr>
            <w:r>
              <w:rPr>
                <w:b w:val="false"/>
                <w:bCs w:val="false"/>
                <w:color w:val="203447"/>
                <w:sz w:val="19"/>
                <w:szCs w:val="19"/>
              </w:rPr>
              <w:t xml:space="preserve">This is decision agreement, NOT 95% answer accuracy.</w:t>
            </w:r>
          </w:p>
        </w:tc>
      </w:tr>
      <w:tr>
        <w:trPr>
          <w:cantSplit/>
          <w:tblHeader w:val="false"/>
        </w:trPr>
        <w:tc>
          <w:tcPr>
            <w:tcW w:type="dxa" w:w="4100"/>
            <w:shd w:fill="F0F5F7" w:val="clear"/>
            <w:tcMar>
              <w:top w:type="dxa" w:w="65"/>
              <w:left w:type="dxa" w:w="110"/>
              <w:bottom w:type="dxa" w:w="65"/>
              <w:right w:type="dxa" w:w="110"/>
            </w:tcMar>
          </w:tcPr>
          <w:p>
            <w:pPr>
              <w:spacing w:after="30"/>
            </w:pPr>
            <w:r>
              <w:rPr>
                <w:b w:val="false"/>
                <w:bCs w:val="false"/>
                <w:color w:val="203447"/>
                <w:sz w:val="19"/>
                <w:szCs w:val="19"/>
              </w:rPr>
              <w:t xml:space="preserve">14/15 expected answerable cases generated</w:t>
            </w:r>
          </w:p>
        </w:tc>
        <w:tc>
          <w:tcPr>
            <w:tcW w:type="dxa" w:w="5100"/>
            <w:shd w:fill="F0F5F7" w:val="clear"/>
            <w:tcMar>
              <w:top w:type="dxa" w:w="65"/>
              <w:left w:type="dxa" w:w="110"/>
              <w:bottom w:type="dxa" w:w="65"/>
              <w:right w:type="dxa" w:w="110"/>
            </w:tcMar>
          </w:tcPr>
          <w:p>
            <w:pPr>
              <w:spacing w:after="30"/>
            </w:pPr>
            <w:r>
              <w:rPr>
                <w:b w:val="false"/>
                <w:bCs w:val="false"/>
                <w:color w:val="203447"/>
                <w:sz w:val="19"/>
                <w:szCs w:val="19"/>
              </w:rPr>
              <w:t xml:space="preserve">NS013 refused despite available source evidence.</w:t>
            </w:r>
          </w:p>
        </w:tc>
      </w:tr>
      <w:tr>
        <w:trPr>
          <w:cantSplit/>
          <w:tblHeader w:val="false"/>
        </w:trPr>
        <w:tc>
          <w:tcPr>
            <w:tcW w:type="dxa" w:w="4100"/>
            <w:shd w:fill="FFFFFF" w:val="clear"/>
            <w:tcMar>
              <w:top w:type="dxa" w:w="65"/>
              <w:left w:type="dxa" w:w="110"/>
              <w:bottom w:type="dxa" w:w="65"/>
              <w:right w:type="dxa" w:w="110"/>
            </w:tcMar>
          </w:tcPr>
          <w:p>
            <w:pPr>
              <w:spacing w:after="30"/>
            </w:pPr>
            <w:r>
              <w:rPr>
                <w:b w:val="false"/>
                <w:bCs w:val="false"/>
                <w:color w:val="203447"/>
                <w:sz w:val="19"/>
                <w:szCs w:val="19"/>
              </w:rPr>
              <w:t xml:space="preserve">5/5 expected refusal cases fell back</w:t>
            </w:r>
          </w:p>
        </w:tc>
        <w:tc>
          <w:tcPr>
            <w:tcW w:type="dxa" w:w="5100"/>
            <w:shd w:fill="FFFFFF" w:val="clear"/>
            <w:tcMar>
              <w:top w:type="dxa" w:w="65"/>
              <w:left w:type="dxa" w:w="110"/>
              <w:bottom w:type="dxa" w:w="65"/>
              <w:right w:type="dxa" w:w="110"/>
            </w:tcMar>
          </w:tcPr>
          <w:p>
            <w:pPr>
              <w:spacing w:after="30"/>
            </w:pPr>
            <w:r>
              <w:rPr>
                <w:b w:val="false"/>
                <w:bCs w:val="false"/>
                <w:color w:val="203447"/>
                <w:sz w:val="19"/>
                <w:szCs w:val="19"/>
              </w:rPr>
              <w:t xml:space="preserve">These expectations concern the source document; the whole index was not audited.</w:t>
            </w:r>
          </w:p>
        </w:tc>
      </w:tr>
      <w:tr>
        <w:trPr>
          <w:cantSplit/>
          <w:tblHeader w:val="false"/>
        </w:trPr>
        <w:tc>
          <w:tcPr>
            <w:tcW w:type="dxa" w:w="4100"/>
            <w:shd w:fill="F0F5F7" w:val="clear"/>
            <w:tcMar>
              <w:top w:type="dxa" w:w="65"/>
              <w:left w:type="dxa" w:w="110"/>
              <w:bottom w:type="dxa" w:w="65"/>
              <w:right w:type="dxa" w:w="110"/>
            </w:tcMar>
          </w:tcPr>
          <w:p>
            <w:pPr>
              <w:spacing w:after="30"/>
            </w:pPr>
            <w:r>
              <w:rPr>
                <w:b w:val="false"/>
                <w:bCs w:val="false"/>
                <w:color w:val="203447"/>
                <w:sz w:val="19"/>
                <w:szCs w:val="19"/>
              </w:rPr>
              <w:t xml:space="preserve">20/20 preserved the original question</w:t>
            </w:r>
          </w:p>
        </w:tc>
        <w:tc>
          <w:tcPr>
            <w:tcW w:type="dxa" w:w="5100"/>
            <w:shd w:fill="F0F5F7" w:val="clear"/>
            <w:tcMar>
              <w:top w:type="dxa" w:w="65"/>
              <w:left w:type="dxa" w:w="110"/>
              <w:bottom w:type="dxa" w:w="65"/>
              <w:right w:type="dxa" w:w="110"/>
            </w:tcMar>
          </w:tcPr>
          <w:p>
            <w:pPr>
              <w:spacing w:after="30"/>
            </w:pPr>
            <w:r>
              <w:rPr>
                <w:b w:val="false"/>
                <w:bCs w:val="false"/>
                <w:color w:val="203447"/>
                <w:sz w:val="19"/>
                <w:szCs w:val="19"/>
              </w:rPr>
              <w:t xml:space="preserve">Rewriting changed the search query, not the user’s question.</w:t>
            </w:r>
          </w:p>
        </w:tc>
      </w:tr>
      <w:tr>
        <w:trPr>
          <w:cantSplit/>
          <w:tblHeader w:val="false"/>
        </w:trPr>
        <w:tc>
          <w:tcPr>
            <w:tcW w:type="dxa" w:w="4100"/>
            <w:shd w:fill="FFFFFF" w:val="clear"/>
            <w:tcMar>
              <w:top w:type="dxa" w:w="65"/>
              <w:left w:type="dxa" w:w="110"/>
              <w:bottom w:type="dxa" w:w="65"/>
              <w:right w:type="dxa" w:w="110"/>
            </w:tcMar>
          </w:tcPr>
          <w:p>
            <w:pPr>
              <w:spacing w:after="30"/>
            </w:pPr>
            <w:r>
              <w:rPr>
                <w:b w:val="false"/>
                <w:bCs w:val="false"/>
                <w:color w:val="203447"/>
                <w:sz w:val="19"/>
                <w:szCs w:val="19"/>
              </w:rPr>
              <w:t xml:space="preserve">6/6 fallbacks returned no public sources</w:t>
            </w:r>
          </w:p>
        </w:tc>
        <w:tc>
          <w:tcPr>
            <w:tcW w:type="dxa" w:w="5100"/>
            <w:shd w:fill="FFFFFF" w:val="clear"/>
            <w:tcMar>
              <w:top w:type="dxa" w:w="65"/>
              <w:left w:type="dxa" w:w="110"/>
              <w:bottom w:type="dxa" w:w="65"/>
              <w:right w:type="dxa" w:w="110"/>
            </w:tcMar>
          </w:tcPr>
          <w:p>
            <w:pPr>
              <w:spacing w:after="30"/>
            </w:pPr>
            <w:r>
              <w:rPr>
                <w:b w:val="false"/>
                <w:bCs w:val="false"/>
                <w:color w:val="203447"/>
                <w:sz w:val="19"/>
                <w:szCs w:val="19"/>
              </w:rPr>
              <w:t xml:space="preserve">Rejected passages were still retained in diagnostic traces.</w:t>
            </w:r>
          </w:p>
        </w:tc>
      </w:tr>
      <w:tr>
        <w:trPr>
          <w:cantSplit/>
          <w:tblHeader w:val="false"/>
        </w:trPr>
        <w:tc>
          <w:tcPr>
            <w:tcW w:type="dxa" w:w="4100"/>
            <w:shd w:fill="F0F5F7" w:val="clear"/>
            <w:tcMar>
              <w:top w:type="dxa" w:w="65"/>
              <w:left w:type="dxa" w:w="110"/>
              <w:bottom w:type="dxa" w:w="65"/>
              <w:right w:type="dxa" w:w="110"/>
            </w:tcMar>
          </w:tcPr>
          <w:p>
            <w:pPr>
              <w:spacing w:after="30"/>
            </w:pPr>
            <w:r>
              <w:rPr>
                <w:b w:val="false"/>
                <w:bCs w:val="false"/>
                <w:color w:val="203447"/>
                <w:sz w:val="19"/>
                <w:szCs w:val="19"/>
              </w:rPr>
              <w:t xml:space="preserve">Mean elapsed time: 7.108 seconds</w:t>
            </w:r>
          </w:p>
        </w:tc>
        <w:tc>
          <w:tcPr>
            <w:tcW w:type="dxa" w:w="5100"/>
            <w:shd w:fill="F0F5F7" w:val="clear"/>
            <w:tcMar>
              <w:top w:type="dxa" w:w="65"/>
              <w:left w:type="dxa" w:w="110"/>
              <w:bottom w:type="dxa" w:w="65"/>
              <w:right w:type="dxa" w:w="110"/>
            </w:tcMar>
          </w:tcPr>
          <w:p>
            <w:pPr>
              <w:spacing w:after="30"/>
            </w:pPr>
            <w:r>
              <w:rPr>
                <w:b w:val="false"/>
                <w:bCs w:val="false"/>
                <w:color w:val="203447"/>
                <w:sz w:val="19"/>
                <w:szCs w:val="19"/>
              </w:rPr>
              <w:t xml:space="preserve">32 provider HTTP 429 responses triggered retries; timing includes those delays.</w:t>
            </w:r>
          </w:p>
        </w:tc>
      </w:tr>
    </w:tbl>
    <w:p>
      <w:pPr>
        <w:pStyle w:val="Heading2"/>
        <w:keepNext/>
        <w:spacing w:after="100" w:before="140"/>
      </w:pPr>
      <w:r>
        <w:t xml:space="preserve">Paired comparison: rewriting off versus on</w:t>
      </w:r>
    </w:p>
    <w:p>
      <w:pPr>
        <w:spacing w:after="100"/>
      </w:pPr>
      <w:r>
        <w:t xml:space="preserve">Both fresh runs completed the same 20 cases, with matching dataset, graph-file and source-document hashes and LangGraph version. First-pass selected passages and grade decisions matched in all 20 cases. Both produced 14 answers and six fallbacks; rewriting rescued none of the six rejected cases. This does not establish equal factual answer quality: generated wording differed.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100"/>
        <w:gridCol w:w="2550"/>
        <w:gridCol w:w="2550"/>
      </w:tblGrid>
      <w:tr>
        <w:trPr>
          <w:cantSplit/>
          <w:tblHeader/>
        </w:trPr>
        <w:tc>
          <w:tcPr>
            <w:tcW w:type="dxa" w:w="4100"/>
            <w:shd w:fill="19394D" w:val="clear"/>
            <w:tcMar>
              <w:top w:type="dxa" w:w="65"/>
              <w:left w:type="dxa" w:w="110"/>
              <w:bottom w:type="dxa" w:w="65"/>
              <w:right w:type="dxa" w:w="110"/>
            </w:tcMar>
          </w:tcPr>
          <w:p>
            <w:pPr>
              <w:spacing w:after="30"/>
            </w:pPr>
            <w:r>
              <w:rPr>
                <w:b/>
                <w:bCs/>
                <w:color w:val="FFFFFF"/>
                <w:sz w:val="19"/>
                <w:szCs w:val="19"/>
              </w:rPr>
              <w:t xml:space="preserve">Measure</w:t>
            </w:r>
          </w:p>
        </w:tc>
        <w:tc>
          <w:tcPr>
            <w:tcW w:type="dxa" w:w="2550"/>
            <w:shd w:fill="19394D" w:val="clear"/>
            <w:tcMar>
              <w:top w:type="dxa" w:w="65"/>
              <w:left w:type="dxa" w:w="110"/>
              <w:bottom w:type="dxa" w:w="65"/>
              <w:right w:type="dxa" w:w="110"/>
            </w:tcMar>
          </w:tcPr>
          <w:p>
            <w:pPr>
              <w:spacing w:after="30"/>
            </w:pPr>
            <w:r>
              <w:rPr>
                <w:b/>
                <w:bCs/>
                <w:color w:val="FFFFFF"/>
                <w:sz w:val="19"/>
                <w:szCs w:val="19"/>
              </w:rPr>
              <w:t xml:space="preserve">Cap 0: off</w:t>
            </w:r>
          </w:p>
        </w:tc>
        <w:tc>
          <w:tcPr>
            <w:tcW w:type="dxa" w:w="2550"/>
            <w:shd w:fill="19394D" w:val="clear"/>
            <w:tcMar>
              <w:top w:type="dxa" w:w="65"/>
              <w:left w:type="dxa" w:w="110"/>
              <w:bottom w:type="dxa" w:w="65"/>
              <w:right w:type="dxa" w:w="110"/>
            </w:tcMar>
          </w:tcPr>
          <w:p>
            <w:pPr>
              <w:spacing w:after="30"/>
            </w:pPr>
            <w:r>
              <w:rPr>
                <w:b/>
                <w:bCs/>
                <w:color w:val="FFFFFF"/>
                <w:sz w:val="19"/>
                <w:szCs w:val="19"/>
              </w:rPr>
              <w:t xml:space="preserve">Cap 1: on</w:t>
            </w:r>
          </w:p>
        </w:tc>
      </w:tr>
      <w:tr>
        <w:trPr>
          <w:cantSplit/>
          <w:tblHeader w:val="false"/>
        </w:trPr>
        <w:tc>
          <w:tcPr>
            <w:tcW w:type="dxa" w:w="4100"/>
            <w:shd w:fill="F0F5F7" w:val="clear"/>
            <w:tcMar>
              <w:top w:type="dxa" w:w="65"/>
              <w:left w:type="dxa" w:w="110"/>
              <w:bottom w:type="dxa" w:w="65"/>
              <w:right w:type="dxa" w:w="110"/>
            </w:tcMar>
          </w:tcPr>
          <w:p>
            <w:pPr>
              <w:spacing w:after="30"/>
            </w:pPr>
            <w:r>
              <w:rPr>
                <w:b w:val="false"/>
                <w:bCs w:val="false"/>
                <w:color w:val="203447"/>
                <w:sz w:val="19"/>
                <w:szCs w:val="19"/>
              </w:rPr>
              <w:t xml:space="preserve">Mean elapsed time, all 20</w:t>
            </w:r>
          </w:p>
        </w:tc>
        <w:tc>
          <w:tcPr>
            <w:tcW w:type="dxa" w:w="2550"/>
            <w:shd w:fill="F0F5F7" w:val="clear"/>
            <w:tcMar>
              <w:top w:type="dxa" w:w="65"/>
              <w:left w:type="dxa" w:w="110"/>
              <w:bottom w:type="dxa" w:w="65"/>
              <w:right w:type="dxa" w:w="110"/>
            </w:tcMar>
          </w:tcPr>
          <w:p>
            <w:pPr>
              <w:spacing w:after="30"/>
            </w:pPr>
            <w:r>
              <w:rPr>
                <w:b w:val="false"/>
                <w:bCs w:val="false"/>
                <w:color w:val="203447"/>
                <w:sz w:val="19"/>
                <w:szCs w:val="19"/>
              </w:rPr>
              <w:t xml:space="preserve">5.360 seconds</w:t>
            </w:r>
          </w:p>
        </w:tc>
        <w:tc>
          <w:tcPr>
            <w:tcW w:type="dxa" w:w="2550"/>
            <w:shd w:fill="F0F5F7" w:val="clear"/>
            <w:tcMar>
              <w:top w:type="dxa" w:w="65"/>
              <w:left w:type="dxa" w:w="110"/>
              <w:bottom w:type="dxa" w:w="65"/>
              <w:right w:type="dxa" w:w="110"/>
            </w:tcMar>
          </w:tcPr>
          <w:p>
            <w:pPr>
              <w:spacing w:after="30"/>
            </w:pPr>
            <w:r>
              <w:rPr>
                <w:b w:val="false"/>
                <w:bCs w:val="false"/>
                <w:color w:val="203447"/>
                <w:sz w:val="19"/>
                <w:szCs w:val="19"/>
              </w:rPr>
              <w:t xml:space="preserve">10.082 seconds</w:t>
            </w:r>
          </w:p>
        </w:tc>
      </w:tr>
      <w:tr>
        <w:trPr>
          <w:cantSplit/>
          <w:tblHeader w:val="false"/>
        </w:trPr>
        <w:tc>
          <w:tcPr>
            <w:tcW w:type="dxa" w:w="4100"/>
            <w:shd w:fill="FFFFFF" w:val="clear"/>
            <w:tcMar>
              <w:top w:type="dxa" w:w="65"/>
              <w:left w:type="dxa" w:w="110"/>
              <w:bottom w:type="dxa" w:w="65"/>
              <w:right w:type="dxa" w:w="110"/>
            </w:tcMar>
          </w:tcPr>
          <w:p>
            <w:pPr>
              <w:spacing w:after="30"/>
            </w:pPr>
            <w:r>
              <w:rPr>
                <w:b w:val="false"/>
                <w:bCs w:val="false"/>
                <w:color w:val="203447"/>
                <w:sz w:val="19"/>
                <w:szCs w:val="19"/>
              </w:rPr>
              <w:t xml:space="preserve">Mean elapsed time, six fallback cases</w:t>
            </w:r>
          </w:p>
        </w:tc>
        <w:tc>
          <w:tcPr>
            <w:tcW w:type="dxa" w:w="2550"/>
            <w:shd w:fill="FFFFFF" w:val="clear"/>
            <w:tcMar>
              <w:top w:type="dxa" w:w="65"/>
              <w:left w:type="dxa" w:w="110"/>
              <w:bottom w:type="dxa" w:w="65"/>
              <w:right w:type="dxa" w:w="110"/>
            </w:tcMar>
          </w:tcPr>
          <w:p>
            <w:pPr>
              <w:spacing w:after="30"/>
            </w:pPr>
            <w:r>
              <w:rPr>
                <w:b w:val="false"/>
                <w:bCs w:val="false"/>
                <w:color w:val="203447"/>
                <w:sz w:val="19"/>
                <w:szCs w:val="19"/>
              </w:rPr>
              <w:t xml:space="preserve">3.040 seconds</w:t>
            </w:r>
          </w:p>
        </w:tc>
        <w:tc>
          <w:tcPr>
            <w:tcW w:type="dxa" w:w="2550"/>
            <w:shd w:fill="FFFFFF" w:val="clear"/>
            <w:tcMar>
              <w:top w:type="dxa" w:w="65"/>
              <w:left w:type="dxa" w:w="110"/>
              <w:bottom w:type="dxa" w:w="65"/>
              <w:right w:type="dxa" w:w="110"/>
            </w:tcMar>
          </w:tcPr>
          <w:p>
            <w:pPr>
              <w:spacing w:after="30"/>
            </w:pPr>
            <w:r>
              <w:rPr>
                <w:b w:val="false"/>
                <w:bCs w:val="false"/>
                <w:color w:val="203447"/>
                <w:sz w:val="19"/>
                <w:szCs w:val="19"/>
              </w:rPr>
              <w:t xml:space="preserve">11.052 seconds</w:t>
            </w:r>
          </w:p>
        </w:tc>
      </w:tr>
      <w:tr>
        <w:trPr>
          <w:cantSplit/>
          <w:tblHeader w:val="false"/>
        </w:trPr>
        <w:tc>
          <w:tcPr>
            <w:tcW w:type="dxa" w:w="4100"/>
            <w:shd w:fill="F0F5F7" w:val="clear"/>
            <w:tcMar>
              <w:top w:type="dxa" w:w="65"/>
              <w:left w:type="dxa" w:w="110"/>
              <w:bottom w:type="dxa" w:w="65"/>
              <w:right w:type="dxa" w:w="110"/>
            </w:tcMar>
          </w:tcPr>
          <w:p>
            <w:pPr>
              <w:spacing w:after="30"/>
            </w:pPr>
            <w:r>
              <w:rPr>
                <w:b w:val="false"/>
                <w:bCs w:val="false"/>
                <w:color w:val="203447"/>
                <w:sz w:val="19"/>
                <w:szCs w:val="19"/>
              </w:rPr>
              <w:t xml:space="preserve">Mean elapsed time, 14 generation cases</w:t>
            </w:r>
          </w:p>
        </w:tc>
        <w:tc>
          <w:tcPr>
            <w:tcW w:type="dxa" w:w="2550"/>
            <w:shd w:fill="F0F5F7" w:val="clear"/>
            <w:tcMar>
              <w:top w:type="dxa" w:w="65"/>
              <w:left w:type="dxa" w:w="110"/>
              <w:bottom w:type="dxa" w:w="65"/>
              <w:right w:type="dxa" w:w="110"/>
            </w:tcMar>
          </w:tcPr>
          <w:p>
            <w:pPr>
              <w:spacing w:after="30"/>
            </w:pPr>
            <w:r>
              <w:rPr>
                <w:b w:val="false"/>
                <w:bCs w:val="false"/>
                <w:color w:val="203447"/>
                <w:sz w:val="19"/>
                <w:szCs w:val="19"/>
              </w:rPr>
              <w:t xml:space="preserve">6.354 seconds</w:t>
            </w:r>
          </w:p>
        </w:tc>
        <w:tc>
          <w:tcPr>
            <w:tcW w:type="dxa" w:w="2550"/>
            <w:shd w:fill="F0F5F7" w:val="clear"/>
            <w:tcMar>
              <w:top w:type="dxa" w:w="65"/>
              <w:left w:type="dxa" w:w="110"/>
              <w:bottom w:type="dxa" w:w="65"/>
              <w:right w:type="dxa" w:w="110"/>
            </w:tcMar>
          </w:tcPr>
          <w:p>
            <w:pPr>
              <w:spacing w:after="30"/>
            </w:pPr>
            <w:r>
              <w:rPr>
                <w:b w:val="false"/>
                <w:bCs w:val="false"/>
                <w:color w:val="203447"/>
                <w:sz w:val="19"/>
                <w:szCs w:val="19"/>
              </w:rPr>
              <w:t xml:space="preserve">9.666 seconds</w:t>
            </w:r>
          </w:p>
        </w:tc>
      </w:tr>
    </w:tbl>
    <w:p>
      <w:pPr>
        <w:spacing w:after="100"/>
      </w:pPr>
      <w:r>
        <w:t xml:space="preserve">The overall observed difference was 4.722 seconds per case. Even cases that never rewrote had different timings, so this is not an isolated rewrite penalty. Sequential run order, provider conditions and answer variation can affect timing. No token usage or monetary cost was measured; repeat/interleave runs before making general performance claims.</w:t>
      </w:r>
    </w:p>
    <w:p>
      <w:pPr>
        <w:spacing w:after="100"/>
      </w:pPr>
      <w:r>
        <w:t xml:space="preserve">The rewrite arm added six retrievals, six rerankings and 12 model-chain invocations (rewrite plus regrade), excluding provider network retries. Most retried questions intentionally lacked source answers; the useful next target is NS013’s selection failure.</w:t>
      </w:r>
    </w:p>
    <w:p>
      <w:pPr>
        <w:pStyle w:val="Heading2"/>
        <w:keepNext/>
        <w:spacing w:after="100" w:before="140"/>
      </w:pPr>
      <w:r>
        <w:t xml:space="preserve">Two different kinds of retry</w:t>
      </w:r>
    </w:p>
    <w:p>
      <w:pPr>
        <w:spacing w:after="100"/>
      </w:pPr>
      <w:r>
        <w:t xml:space="preserve">A query rewrite changes the search wording to try to find better evidence. A provider retry repeats a failed network request after a rate limit. These have different purposes and both can add time.</w:t>
      </w:r>
    </w:p>
    <w:p>
      <w:pPr>
        <w:pStyle w:val="Heading1"/>
        <w:keepNext/>
        <w:pageBreakBefore/>
        <w:spacing w:after="200"/>
      </w:pPr>
      <w:r>
        <w:t xml:space="preserve">Key failures: MRS and NS013</w:t>
      </w:r>
    </w:p>
    <w:p>
      <w:pPr>
        <w:pStyle w:val="Heading2"/>
        <w:keepNext/>
        <w:spacing w:after="100" w:before="140"/>
      </w:pPr>
      <w:r>
        <w:t xml:space="preserve">What is MRS?</w:t>
      </w:r>
    </w:p>
    <w:p>
      <w:pPr>
        <w:spacing w:after="100"/>
      </w:pPr>
      <w:r>
        <w:t xml:space="preserve">MRS stands for Magnetic Resonance Spectroscopy. In the project source, it measures chemical information in tissue; glutamate and GABA are examples of molecules discussed. MEG, by comparison, records magnetic fields associated with neural activity.</w:t>
      </w:r>
    </w:p>
    <w:p>
      <w:pPr>
        <w:pStyle w:val="Heading2"/>
        <w:keepNext/>
        <w:spacing w:after="100" w:before="140"/>
      </w:pPr>
      <w:r>
        <w:t xml:space="preserve">MRS: a plausible answer with incomplete support</w:t>
      </w:r>
    </w:p>
    <w:p>
      <w:pPr>
        <w:spacing w:after="100"/>
      </w:pPr>
      <w:r>
        <w:t xml:space="preserve">In NS004, the 9 October trace retrieved the useful MRS continuation but reranking dropped it. The selected introduction stopped at “Scientifically, MRS detects”. The 12 October NS004 and NS017 selections again contained this incomplete introduction, while the answers gave more detailed MRS explanations.</w:t>
      </w:r>
    </w:p>
    <w:p>
      <w:pPr>
        <w:spacing w:after="100"/>
      </w:pPr>
      <w:r>
        <w:t xml:space="preserve">This is an evidence-support problem even if the answer sounds correct. Uploading documents indexes them for retrieval; it does not train the LLM’s weights. The model can supply information beyond the selected text, possibly from pretrained knowledge. We cannot prove the internal origin of each claim.</w:t>
      </w:r>
    </w:p>
    <w:p>
      <w:pPr>
        <w:pStyle w:val="Heading2"/>
        <w:keepNext/>
        <w:spacing w:after="100" w:before="140"/>
      </w:pPr>
      <w:r>
        <w:t xml:space="preserve">NS013: the answer was retrieved, then excluded</w:t>
      </w:r>
    </w:p>
    <w:p>
      <w:pPr>
        <w:spacing w:after="100"/>
      </w:pPr>
      <w:r>
        <w:t xml:space="preserve">Question: What privacy-related question does the document give as an example in neuroethics?</w:t>
      </w:r>
    </w:p>
    <w:p>
      <w:pPr>
        <w:spacing w:after="100"/>
      </w:pPr>
      <w:r>
        <w:t xml:space="preserve">Reference: What does it mean if brain scans can reveal private thoughts?</w:t>
      </w:r>
    </w:p>
    <w:p>
      <w:pPr>
        <w:spacing w:after="100"/>
      </w:pPr>
      <w:r>
        <w:t xml:space="preserve">Both retrieval attempts included the passage about private thoughts. Both reranked selections dropped it. A retained preceding passage ended at “What does it”. The grader then rejected incomplete selected evidence, and the workflow fell back.</w:t>
      </w:r>
    </w:p>
    <w:p>
      <w:pPr>
        <w:spacing w:after="100"/>
      </w:pPr>
      <w:r>
        <w:t xml:space="preserve">The observed failure is selection loss and an unwanted refusal. Broken sentence boundaries may contribute, but reranker scores and a controlled chunking experiment are needed to establish the cause.</w:t>
      </w:r>
    </w:p>
    <w:p>
      <w:pPr>
        <w:pStyle w:val="Heading2"/>
        <w:keepNext/>
        <w:spacing w:after="100" w:before="140"/>
      </w:pPr>
      <w:r>
        <w:t xml:space="preserve">Inspect the saved context trace</w:t>
      </w:r>
    </w:p>
    <w:p>
      <w:pPr>
        <w:spacing w:after="100"/>
      </w:pPr>
      <w:r>
        <w:t xml:space="preserve">For each evaluated answer or refusal, inspect its saved context trace alongside the question and reference evidence. A relevant chunk may be retrieved but discarded by the reranker. Alternatively, it may survive reranking while the LLM grader rejects the selected context. Check candidates, selected passages, grading decisions and the final answer to locate the failure; the answer alone cannot show where it occurred.</w:t>
      </w:r>
    </w:p>
    <w:p>
      <w:pPr>
        <w:spacing w:after="100"/>
      </w:pPr>
      <w:r>
        <w:t xml:space="preserve">Latest 20-case trace: v4_context_20261012T100747595814Z.json. Earlier six-case API results: v4_baseline_20261009T133848645420Z.json. These are different executions; do not assume identical evidence. A grader rejection may be appropriate if the selected passages are insufficient.</w:t>
      </w:r>
    </w:p>
    <w:p>
      <w:pPr>
        <w:pStyle w:val="Heading2"/>
        <w:keepNext/>
        <w:spacing w:after="100" w:before="140"/>
      </w:pPr>
      <w:r>
        <w:t xml:space="preserve">Other signals</w:t>
      </w:r>
    </w:p>
    <w:p>
      <w:pPr>
        <w:spacing w:after="100"/>
      </w:pPr>
      <w:r>
        <w:t xml:space="preserve">The cap-1 NS004 answer added that MRS uses sensors placed on the scalp; its selected MRS passage did not support this detail. Some returned sources were irrelevant, and extraction contained broken words. These concerns persist beyond answer/refusal agreement.</w:t>
      </w:r>
    </w:p>
    <w:p>
      <w:pPr>
        <w:pStyle w:val="Heading1"/>
        <w:keepNext/>
        <w:pageBreakBefore/>
        <w:spacing w:after="200"/>
      </w:pPr>
      <w:r>
        <w:t xml:space="preserve">Limits and next 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cantSplit/>
          <w:tblHeader/>
        </w:trPr>
        <w:tc>
          <w:tcPr>
            <w:tcW w:type="dxa" w:w="3000"/>
            <w:shd w:fill="19394D" w:val="clear"/>
            <w:tcMar>
              <w:top w:type="dxa" w:w="65"/>
              <w:left w:type="dxa" w:w="110"/>
              <w:bottom w:type="dxa" w:w="65"/>
              <w:right w:type="dxa" w:w="110"/>
            </w:tcMar>
          </w:tcPr>
          <w:p>
            <w:pPr>
              <w:spacing w:after="30"/>
            </w:pPr>
            <w:r>
              <w:rPr>
                <w:b/>
                <w:bCs/>
                <w:color w:val="FFFFFF"/>
                <w:sz w:val="19"/>
                <w:szCs w:val="19"/>
              </w:rPr>
              <w:t xml:space="preserve">Limit</w:t>
            </w:r>
          </w:p>
        </w:tc>
        <w:tc>
          <w:tcPr>
            <w:tcW w:type="dxa" w:w="6200"/>
            <w:shd w:fill="19394D" w:val="clear"/>
            <w:tcMar>
              <w:top w:type="dxa" w:w="65"/>
              <w:left w:type="dxa" w:w="110"/>
              <w:bottom w:type="dxa" w:w="65"/>
              <w:right w:type="dxa" w:w="110"/>
            </w:tcMar>
          </w:tcPr>
          <w:p>
            <w:pPr>
              <w:spacing w:after="30"/>
            </w:pPr>
            <w:r>
              <w:rPr>
                <w:b/>
                <w:bCs/>
                <w:color w:val="FFFFFF"/>
                <w:sz w:val="19"/>
                <w:szCs w:val="19"/>
              </w:rPr>
              <w:t xml:space="preserve">What we can safely conclude</w:t>
            </w:r>
          </w:p>
        </w:tc>
      </w:tr>
      <w:tr>
        <w:trPr>
          <w:cantSplit/>
          <w:tblHeader w:val="false"/>
        </w:trPr>
        <w:tc>
          <w:tcPr>
            <w:tcW w:type="dxa" w:w="3000"/>
            <w:shd w:fill="F0F5F7" w:val="clear"/>
            <w:tcMar>
              <w:top w:type="dxa" w:w="65"/>
              <w:left w:type="dxa" w:w="110"/>
              <w:bottom w:type="dxa" w:w="65"/>
              <w:right w:type="dxa" w:w="110"/>
            </w:tcMar>
          </w:tcPr>
          <w:p>
            <w:pPr>
              <w:spacing w:after="30"/>
            </w:pPr>
            <w:r>
              <w:rPr>
                <w:b w:val="false"/>
                <w:bCs w:val="false"/>
                <w:color w:val="203447"/>
                <w:sz w:val="19"/>
                <w:szCs w:val="19"/>
              </w:rPr>
              <w:t xml:space="preserve">Small, narrow dataset</w:t>
            </w:r>
          </w:p>
        </w:tc>
        <w:tc>
          <w:tcPr>
            <w:tcW w:type="dxa" w:w="6200"/>
            <w:shd w:fill="F0F5F7" w:val="clear"/>
            <w:tcMar>
              <w:top w:type="dxa" w:w="65"/>
              <w:left w:type="dxa" w:w="110"/>
              <w:bottom w:type="dxa" w:w="65"/>
              <w:right w:type="dxa" w:w="110"/>
            </w:tcMar>
          </w:tcPr>
          <w:p>
            <w:pPr>
              <w:spacing w:after="30"/>
            </w:pPr>
            <w:r>
              <w:rPr>
                <w:b w:val="false"/>
                <w:bCs w:val="false"/>
                <w:color w:val="203447"/>
                <w:sz w:val="19"/>
                <w:szCs w:val="19"/>
              </w:rPr>
              <w:t xml:space="preserve">20 questions from one document establish a development baseline, not production reliability.</w:t>
            </w:r>
          </w:p>
        </w:tc>
      </w:tr>
      <w:tr>
        <w:trPr>
          <w:cantSplit/>
          <w:tblHeader w:val="false"/>
        </w:trPr>
        <w:tc>
          <w:tcPr>
            <w:tcW w:type="dxa" w:w="3000"/>
            <w:shd w:fill="FFFFFF" w:val="clear"/>
            <w:tcMar>
              <w:top w:type="dxa" w:w="65"/>
              <w:left w:type="dxa" w:w="110"/>
              <w:bottom w:type="dxa" w:w="65"/>
              <w:right w:type="dxa" w:w="110"/>
            </w:tcMar>
          </w:tcPr>
          <w:p>
            <w:pPr>
              <w:spacing w:after="30"/>
            </w:pPr>
            <w:r>
              <w:rPr>
                <w:b w:val="false"/>
                <w:bCs w:val="false"/>
                <w:color w:val="203447"/>
                <w:sz w:val="19"/>
                <w:szCs w:val="19"/>
              </w:rPr>
              <w:t xml:space="preserve">Draft references</w:t>
            </w:r>
          </w:p>
        </w:tc>
        <w:tc>
          <w:tcPr>
            <w:tcW w:type="dxa" w:w="6200"/>
            <w:shd w:fill="FFFFFF" w:val="clear"/>
            <w:tcMar>
              <w:top w:type="dxa" w:w="65"/>
              <w:left w:type="dxa" w:w="110"/>
              <w:bottom w:type="dxa" w:w="65"/>
              <w:right w:type="dxa" w:w="110"/>
            </w:tcMar>
          </w:tcPr>
          <w:p>
            <w:pPr>
              <w:spacing w:after="30"/>
            </w:pPr>
            <w:r>
              <w:rPr>
                <w:b w:val="false"/>
                <w:bCs w:val="false"/>
                <w:color w:val="203447"/>
                <w:sz w:val="19"/>
                <w:szCs w:val="19"/>
              </w:rPr>
              <w:t xml:space="preserve">Aggregate comparisons remain provisional until the expanded labels are reviewed.</w:t>
            </w:r>
          </w:p>
        </w:tc>
      </w:tr>
      <w:tr>
        <w:trPr>
          <w:cantSplit/>
          <w:tblHeader w:val="false"/>
        </w:trPr>
        <w:tc>
          <w:tcPr>
            <w:tcW w:type="dxa" w:w="3000"/>
            <w:shd w:fill="F0F5F7" w:val="clear"/>
            <w:tcMar>
              <w:top w:type="dxa" w:w="65"/>
              <w:left w:type="dxa" w:w="110"/>
              <w:bottom w:type="dxa" w:w="65"/>
              <w:right w:type="dxa" w:w="110"/>
            </w:tcMar>
          </w:tcPr>
          <w:p>
            <w:pPr>
              <w:spacing w:after="30"/>
            </w:pPr>
            <w:r>
              <w:rPr>
                <w:b w:val="false"/>
                <w:bCs w:val="false"/>
                <w:color w:val="203447"/>
                <w:sz w:val="19"/>
                <w:szCs w:val="19"/>
              </w:rPr>
              <w:t xml:space="preserve">No held-out test set</w:t>
            </w:r>
          </w:p>
        </w:tc>
        <w:tc>
          <w:tcPr>
            <w:tcW w:type="dxa" w:w="6200"/>
            <w:shd w:fill="F0F5F7" w:val="clear"/>
            <w:tcMar>
              <w:top w:type="dxa" w:w="65"/>
              <w:left w:type="dxa" w:w="110"/>
              <w:bottom w:type="dxa" w:w="65"/>
              <w:right w:type="dxa" w:w="110"/>
            </w:tcMar>
          </w:tcPr>
          <w:p>
            <w:pPr>
              <w:spacing w:after="30"/>
            </w:pPr>
            <w:r>
              <w:rPr>
                <w:b w:val="false"/>
                <w:bCs w:val="false"/>
                <w:color w:val="203447"/>
                <w:sz w:val="19"/>
                <w:szCs w:val="19"/>
              </w:rPr>
              <w:t xml:space="preserve">Questions used for development cannot independently demonstrate generalization.</w:t>
            </w:r>
          </w:p>
        </w:tc>
      </w:tr>
      <w:tr>
        <w:trPr>
          <w:cantSplit/>
          <w:tblHeader w:val="false"/>
        </w:trPr>
        <w:tc>
          <w:tcPr>
            <w:tcW w:type="dxa" w:w="3000"/>
            <w:shd w:fill="FFFFFF" w:val="clear"/>
            <w:tcMar>
              <w:top w:type="dxa" w:w="65"/>
              <w:left w:type="dxa" w:w="110"/>
              <w:bottom w:type="dxa" w:w="65"/>
              <w:right w:type="dxa" w:w="110"/>
            </w:tcMar>
          </w:tcPr>
          <w:p>
            <w:pPr>
              <w:spacing w:after="30"/>
            </w:pPr>
            <w:r>
              <w:rPr>
                <w:b w:val="false"/>
                <w:bCs w:val="false"/>
                <w:color w:val="203447"/>
                <w:sz w:val="19"/>
                <w:szCs w:val="19"/>
              </w:rPr>
              <w:t xml:space="preserve">Incomplete scoring</w:t>
            </w:r>
          </w:p>
        </w:tc>
        <w:tc>
          <w:tcPr>
            <w:tcW w:type="dxa" w:w="6200"/>
            <w:shd w:fill="FFFFFF" w:val="clear"/>
            <w:tcMar>
              <w:top w:type="dxa" w:w="65"/>
              <w:left w:type="dxa" w:w="110"/>
              <w:bottom w:type="dxa" w:w="65"/>
              <w:right w:type="dxa" w:w="110"/>
            </w:tcMar>
          </w:tcPr>
          <w:p>
            <w:pPr>
              <w:spacing w:after="30"/>
            </w:pPr>
            <w:r>
              <w:rPr>
                <w:b w:val="false"/>
                <w:bCs w:val="false"/>
                <w:color w:val="203447"/>
                <w:sz w:val="19"/>
                <w:szCs w:val="19"/>
              </w:rPr>
              <w:t xml:space="preserve">Answer/refusal agreement does not measure every factual claim, groundedness or citation quality.</w:t>
            </w:r>
          </w:p>
        </w:tc>
      </w:tr>
      <w:tr>
        <w:trPr>
          <w:cantSplit/>
          <w:tblHeader w:val="false"/>
        </w:trPr>
        <w:tc>
          <w:tcPr>
            <w:tcW w:type="dxa" w:w="3000"/>
            <w:shd w:fill="F0F5F7" w:val="clear"/>
            <w:tcMar>
              <w:top w:type="dxa" w:w="65"/>
              <w:left w:type="dxa" w:w="110"/>
              <w:bottom w:type="dxa" w:w="65"/>
              <w:right w:type="dxa" w:w="110"/>
            </w:tcMar>
          </w:tcPr>
          <w:p>
            <w:pPr>
              <w:spacing w:after="30"/>
            </w:pPr>
            <w:r>
              <w:rPr>
                <w:b w:val="false"/>
                <w:bCs w:val="false"/>
                <w:color w:val="203447"/>
                <w:sz w:val="19"/>
                <w:szCs w:val="19"/>
              </w:rPr>
              <w:t xml:space="preserve">One sequential paired comparison</w:t>
            </w:r>
          </w:p>
        </w:tc>
        <w:tc>
          <w:tcPr>
            <w:tcW w:type="dxa" w:w="6200"/>
            <w:shd w:fill="F0F5F7" w:val="clear"/>
            <w:tcMar>
              <w:top w:type="dxa" w:w="65"/>
              <w:left w:type="dxa" w:w="110"/>
              <w:bottom w:type="dxa" w:w="65"/>
              <w:right w:type="dxa" w:w="110"/>
            </w:tcMar>
          </w:tcPr>
          <w:p>
            <w:pPr>
              <w:spacing w:after="30"/>
            </w:pPr>
            <w:r>
              <w:rPr>
                <w:b w:val="false"/>
                <w:bCs w:val="false"/>
                <w:color w:val="203447"/>
                <w:sz w:val="19"/>
                <w:szCs w:val="19"/>
              </w:rPr>
              <w:t xml:space="preserve">No rescue observed; timings are confounded and token/cost usage was not measured.</w:t>
            </w:r>
          </w:p>
        </w:tc>
      </w:tr>
      <w:tr>
        <w:trPr>
          <w:cantSplit/>
          <w:tblHeader w:val="false"/>
        </w:trPr>
        <w:tc>
          <w:tcPr>
            <w:tcW w:type="dxa" w:w="3000"/>
            <w:shd w:fill="FFFFFF" w:val="clear"/>
            <w:tcMar>
              <w:top w:type="dxa" w:w="65"/>
              <w:left w:type="dxa" w:w="110"/>
              <w:bottom w:type="dxa" w:w="65"/>
              <w:right w:type="dxa" w:w="110"/>
            </w:tcMar>
          </w:tcPr>
          <w:p>
            <w:pPr>
              <w:spacing w:after="30"/>
            </w:pPr>
            <w:r>
              <w:rPr>
                <w:b w:val="false"/>
                <w:bCs w:val="false"/>
                <w:color w:val="203447"/>
                <w:sz w:val="19"/>
                <w:szCs w:val="19"/>
              </w:rPr>
              <w:t xml:space="preserve">Rate-limited single run</w:t>
            </w:r>
          </w:p>
        </w:tc>
        <w:tc>
          <w:tcPr>
            <w:tcW w:type="dxa" w:w="6200"/>
            <w:shd w:fill="FFFFFF" w:val="clear"/>
            <w:tcMar>
              <w:top w:type="dxa" w:w="65"/>
              <w:left w:type="dxa" w:w="110"/>
              <w:bottom w:type="dxa" w:w="65"/>
              <w:right w:type="dxa" w:w="110"/>
            </w:tcMar>
          </w:tcPr>
          <w:p>
            <w:pPr>
              <w:spacing w:after="30"/>
            </w:pPr>
            <w:r>
              <w:rPr>
                <w:b w:val="false"/>
                <w:bCs w:val="false"/>
                <w:color w:val="203447"/>
                <w:sz w:val="19"/>
                <w:szCs w:val="19"/>
              </w:rPr>
              <w:t xml:space="preserve">The timing is not a stable production latency estimate.</w:t>
            </w:r>
          </w:p>
        </w:tc>
      </w:tr>
      <w:tr>
        <w:trPr>
          <w:cantSplit/>
          <w:tblHeader w:val="false"/>
        </w:trPr>
        <w:tc>
          <w:tcPr>
            <w:tcW w:type="dxa" w:w="3000"/>
            <w:shd w:fill="F0F5F7" w:val="clear"/>
            <w:tcMar>
              <w:top w:type="dxa" w:w="65"/>
              <w:left w:type="dxa" w:w="110"/>
              <w:bottom w:type="dxa" w:w="65"/>
              <w:right w:type="dxa" w:w="110"/>
            </w:tcMar>
          </w:tcPr>
          <w:p>
            <w:pPr>
              <w:spacing w:after="30"/>
            </w:pPr>
            <w:r>
              <w:rPr>
                <w:b w:val="false"/>
                <w:bCs w:val="false"/>
                <w:color w:val="203447"/>
                <w:sz w:val="19"/>
                <w:szCs w:val="19"/>
              </w:rPr>
              <w:t xml:space="preserve">Mixed indexed corpus</w:t>
            </w:r>
          </w:p>
        </w:tc>
        <w:tc>
          <w:tcPr>
            <w:tcW w:type="dxa" w:w="6200"/>
            <w:shd w:fill="F0F5F7" w:val="clear"/>
            <w:tcMar>
              <w:top w:type="dxa" w:w="65"/>
              <w:left w:type="dxa" w:w="110"/>
              <w:bottom w:type="dxa" w:w="65"/>
              <w:right w:type="dxa" w:w="110"/>
            </w:tcMar>
          </w:tcPr>
          <w:p>
            <w:pPr>
              <w:spacing w:after="30"/>
            </w:pPr>
            <w:r>
              <w:rPr>
                <w:b w:val="false"/>
                <w:bCs w:val="false"/>
                <w:color w:val="203447"/>
                <w:sz w:val="19"/>
                <w:szCs w:val="19"/>
              </w:rPr>
              <w:t xml:space="preserve">A fact missing from this document might exist elsewhere in the index.</w:t>
            </w:r>
          </w:p>
        </w:tc>
      </w:tr>
    </w:tbl>
    <w:p>
      <w:pPr>
        <w:pStyle w:val="Heading2"/>
        <w:keepNext/>
        <w:spacing w:after="100" w:before="140"/>
      </w:pPr>
      <w:r>
        <w:t xml:space="preserve">Practical next steps</w:t>
      </w:r>
    </w:p>
    <w:p>
      <w:pPr>
        <w:spacing w:after="100"/>
      </w:pPr>
      <w:r>
        <w:t xml:space="preserve">1. Review the 14 new reference cases and preserve this baseline.
2. Investigate MRS and NS013 selection gaps, changing one component at a time.
3. Repeat or interleave comparisons before making timing or cost claims.
4. In V5, test routing, rewrite bounds, original-question preservation and empty fallback sources with controlled dependencies.</w:t>
      </w:r>
    </w:p>
    <w:p>
      <w:pPr>
        <w:pStyle w:val="Heading2"/>
        <w:keepNext/>
        <w:spacing w:after="100" w:before="140"/>
      </w:pPr>
      <w:r>
        <w:t xml:space="preserve">Which file helps trace which problem?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cantSplit/>
          <w:tblHeader/>
        </w:trPr>
        <w:tc>
          <w:tcPr>
            <w:tcW w:type="dxa" w:w="3600"/>
            <w:shd w:fill="19394D" w:val="clear"/>
            <w:tcMar>
              <w:top w:type="dxa" w:w="65"/>
              <w:left w:type="dxa" w:w="110"/>
              <w:bottom w:type="dxa" w:w="65"/>
              <w:right w:type="dxa" w:w="110"/>
            </w:tcMar>
          </w:tcPr>
          <w:p>
            <w:pPr>
              <w:spacing w:after="30"/>
            </w:pPr>
            <w:r>
              <w:rPr>
                <w:b/>
                <w:bCs/>
                <w:color w:val="FFFFFF"/>
                <w:sz w:val="19"/>
                <w:szCs w:val="19"/>
              </w:rPr>
              <w:t xml:space="preserve">Problem</w:t>
            </w:r>
          </w:p>
        </w:tc>
        <w:tc>
          <w:tcPr>
            <w:tcW w:type="dxa" w:w="5600"/>
            <w:shd w:fill="19394D" w:val="clear"/>
            <w:tcMar>
              <w:top w:type="dxa" w:w="65"/>
              <w:left w:type="dxa" w:w="110"/>
              <w:bottom w:type="dxa" w:w="65"/>
              <w:right w:type="dxa" w:w="110"/>
            </w:tcMar>
          </w:tcPr>
          <w:p>
            <w:pPr>
              <w:spacing w:after="30"/>
            </w:pPr>
            <w:r>
              <w:rPr>
                <w:b/>
                <w:bCs/>
                <w:color w:val="FFFFFF"/>
                <w:sz w:val="19"/>
                <w:szCs w:val="19"/>
              </w:rPr>
              <w:t xml:space="preserve">File or step to inspect</w:t>
            </w:r>
          </w:p>
        </w:tc>
      </w:tr>
      <w:tr>
        <w:trPr>
          <w:cantSplit/>
          <w:tblHeader w:val="false"/>
        </w:trPr>
        <w:tc>
          <w:tcPr>
            <w:tcW w:type="dxa" w:w="3600"/>
            <w:shd w:fill="F0F5F7" w:val="clear"/>
            <w:tcMar>
              <w:top w:type="dxa" w:w="65"/>
              <w:left w:type="dxa" w:w="110"/>
              <w:bottom w:type="dxa" w:w="65"/>
              <w:right w:type="dxa" w:w="110"/>
            </w:tcMar>
          </w:tcPr>
          <w:p>
            <w:pPr>
              <w:spacing w:after="30"/>
            </w:pPr>
            <w:r>
              <w:rPr>
                <w:b w:val="false"/>
                <w:bCs w:val="false"/>
                <w:color w:val="203447"/>
                <w:sz w:val="19"/>
                <w:szCs w:val="19"/>
              </w:rPr>
              <w:t xml:space="preserve">Wrong answer, refusal, public sources or API time</w:t>
            </w:r>
          </w:p>
        </w:tc>
        <w:tc>
          <w:tcPr>
            <w:tcW w:type="dxa" w:w="5600"/>
            <w:shd w:fill="F0F5F7" w:val="clear"/>
            <w:tcMar>
              <w:top w:type="dxa" w:w="65"/>
              <w:left w:type="dxa" w:w="110"/>
              <w:bottom w:type="dxa" w:w="65"/>
              <w:right w:type="dxa" w:w="110"/>
            </w:tcMar>
          </w:tcPr>
          <w:p>
            <w:pPr>
              <w:spacing w:after="30"/>
            </w:pPr>
            <w:r>
              <w:rPr>
                <w:b w:val="false"/>
                <w:bCs w:val="false"/>
                <w:color w:val="203447"/>
                <w:sz w:val="19"/>
                <w:szCs w:val="19"/>
              </w:rPr>
              <w:t xml:space="preserve">v4_baseline_20261009T133848645420Z.json: earlier six-case API outputs.</w:t>
            </w:r>
          </w:p>
        </w:tc>
      </w:tr>
      <w:tr>
        <w:trPr>
          <w:cantSplit/>
          <w:tblHeader w:val="false"/>
        </w:trPr>
        <w:tc>
          <w:tcPr>
            <w:tcW w:type="dxa" w:w="3600"/>
            <w:shd w:fill="FFFFFF" w:val="clear"/>
            <w:tcMar>
              <w:top w:type="dxa" w:w="65"/>
              <w:left w:type="dxa" w:w="110"/>
              <w:bottom w:type="dxa" w:w="65"/>
              <w:right w:type="dxa" w:w="110"/>
            </w:tcMar>
          </w:tcPr>
          <w:p>
            <w:pPr>
              <w:spacing w:after="30"/>
            </w:pPr>
            <w:r>
              <w:rPr>
                <w:b w:val="false"/>
                <w:bCs w:val="false"/>
                <w:color w:val="203447"/>
                <w:sz w:val="19"/>
                <w:szCs w:val="19"/>
              </w:rPr>
              <w:t xml:space="preserve">Relevant evidence missing from retrieval</w:t>
            </w:r>
          </w:p>
        </w:tc>
        <w:tc>
          <w:tcPr>
            <w:tcW w:type="dxa" w:w="5600"/>
            <w:shd w:fill="FFFFFF" w:val="clear"/>
            <w:tcMar>
              <w:top w:type="dxa" w:w="65"/>
              <w:left w:type="dxa" w:w="110"/>
              <w:bottom w:type="dxa" w:w="65"/>
              <w:right w:type="dxa" w:w="110"/>
            </w:tcMar>
          </w:tcPr>
          <w:p>
            <w:pPr>
              <w:spacing w:after="30"/>
            </w:pPr>
            <w:r>
              <w:rPr>
                <w:b w:val="false"/>
                <w:bCs w:val="false"/>
                <w:color w:val="203447"/>
                <w:sz w:val="19"/>
                <w:szCs w:val="19"/>
              </w:rPr>
              <w:t xml:space="preserve">v4_context_20261012T100747595814Z.json: retrieve candidates.</w:t>
            </w:r>
          </w:p>
        </w:tc>
      </w:tr>
      <w:tr>
        <w:trPr>
          <w:cantSplit/>
          <w:tblHeader w:val="false"/>
        </w:trPr>
        <w:tc>
          <w:tcPr>
            <w:tcW w:type="dxa" w:w="3600"/>
            <w:shd w:fill="F0F5F7" w:val="clear"/>
            <w:tcMar>
              <w:top w:type="dxa" w:w="65"/>
              <w:left w:type="dxa" w:w="110"/>
              <w:bottom w:type="dxa" w:w="65"/>
              <w:right w:type="dxa" w:w="110"/>
            </w:tcMar>
          </w:tcPr>
          <w:p>
            <w:pPr>
              <w:spacing w:after="30"/>
            </w:pPr>
            <w:r>
              <w:rPr>
                <w:b w:val="false"/>
                <w:bCs w:val="false"/>
                <w:color w:val="203447"/>
                <w:sz w:val="19"/>
                <w:szCs w:val="19"/>
              </w:rPr>
              <w:t xml:space="preserve">Evidence dropped by reranking</w:t>
            </w:r>
          </w:p>
        </w:tc>
        <w:tc>
          <w:tcPr>
            <w:tcW w:type="dxa" w:w="5600"/>
            <w:shd w:fill="F0F5F7" w:val="clear"/>
            <w:tcMar>
              <w:top w:type="dxa" w:w="65"/>
              <w:left w:type="dxa" w:w="110"/>
              <w:bottom w:type="dxa" w:w="65"/>
              <w:right w:type="dxa" w:w="110"/>
            </w:tcMar>
          </w:tcPr>
          <w:p>
            <w:pPr>
              <w:spacing w:after="30"/>
            </w:pPr>
            <w:r>
              <w:rPr>
                <w:b w:val="false"/>
                <w:bCs w:val="false"/>
                <w:color w:val="203447"/>
                <w:sz w:val="19"/>
                <w:szCs w:val="19"/>
              </w:rPr>
              <w:t xml:space="preserve">Same context file: compare retrieve → rerank.</w:t>
            </w:r>
          </w:p>
        </w:tc>
      </w:tr>
      <w:tr>
        <w:trPr>
          <w:cantSplit/>
          <w:tblHeader w:val="false"/>
        </w:trPr>
        <w:tc>
          <w:tcPr>
            <w:tcW w:type="dxa" w:w="3600"/>
            <w:shd w:fill="FFFFFF" w:val="clear"/>
            <w:tcMar>
              <w:top w:type="dxa" w:w="65"/>
              <w:left w:type="dxa" w:w="110"/>
              <w:bottom w:type="dxa" w:w="65"/>
              <w:right w:type="dxa" w:w="110"/>
            </w:tcMar>
          </w:tcPr>
          <w:p>
            <w:pPr>
              <w:spacing w:after="30"/>
            </w:pPr>
            <w:r>
              <w:rPr>
                <w:b w:val="false"/>
                <w:bCs w:val="false"/>
                <w:color w:val="203447"/>
                <w:sz w:val="19"/>
                <w:szCs w:val="19"/>
              </w:rPr>
              <w:t xml:space="preserve">Selected evidence rejected by grader</w:t>
            </w:r>
          </w:p>
        </w:tc>
        <w:tc>
          <w:tcPr>
            <w:tcW w:type="dxa" w:w="5600"/>
            <w:shd w:fill="FFFFFF" w:val="clear"/>
            <w:tcMar>
              <w:top w:type="dxa" w:w="65"/>
              <w:left w:type="dxa" w:w="110"/>
              <w:bottom w:type="dxa" w:w="65"/>
              <w:right w:type="dxa" w:w="110"/>
            </w:tcMar>
          </w:tcPr>
          <w:p>
            <w:pPr>
              <w:spacing w:after="30"/>
            </w:pPr>
            <w:r>
              <w:rPr>
                <w:b w:val="false"/>
                <w:bCs w:val="false"/>
                <w:color w:val="203447"/>
                <w:sz w:val="19"/>
                <w:szCs w:val="19"/>
              </w:rPr>
              <w:t xml:space="preserve">Same context file: compare rerank → grade_context; assess whether rejection is justified.</w:t>
            </w:r>
          </w:p>
        </w:tc>
      </w:tr>
      <w:tr>
        <w:trPr>
          <w:cantSplit/>
          <w:tblHeader w:val="false"/>
        </w:trPr>
        <w:tc>
          <w:tcPr>
            <w:tcW w:type="dxa" w:w="3600"/>
            <w:shd w:fill="F0F5F7" w:val="clear"/>
            <w:tcMar>
              <w:top w:type="dxa" w:w="65"/>
              <w:left w:type="dxa" w:w="110"/>
              <w:bottom w:type="dxa" w:w="65"/>
              <w:right w:type="dxa" w:w="110"/>
            </w:tcMar>
          </w:tcPr>
          <w:p>
            <w:pPr>
              <w:spacing w:after="30"/>
            </w:pPr>
            <w:r>
              <w:rPr>
                <w:b w:val="false"/>
                <w:bCs w:val="false"/>
                <w:color w:val="203447"/>
                <w:sz w:val="19"/>
                <w:szCs w:val="19"/>
              </w:rPr>
              <w:t xml:space="preserve">Rewrite failed to recover evidence</w:t>
            </w:r>
          </w:p>
        </w:tc>
        <w:tc>
          <w:tcPr>
            <w:tcW w:type="dxa" w:w="5600"/>
            <w:shd w:fill="F0F5F7" w:val="clear"/>
            <w:tcMar>
              <w:top w:type="dxa" w:w="65"/>
              <w:left w:type="dxa" w:w="110"/>
              <w:bottom w:type="dxa" w:w="65"/>
              <w:right w:type="dxa" w:w="110"/>
            </w:tcMar>
          </w:tcPr>
          <w:p>
            <w:pPr>
              <w:spacing w:after="30"/>
            </w:pPr>
            <w:r>
              <w:rPr>
                <w:b w:val="false"/>
                <w:bCs w:val="false"/>
                <w:color w:val="203447"/>
                <w:sz w:val="19"/>
                <w:szCs w:val="19"/>
              </w:rPr>
              <w:t xml:space="preserve">Same context file: compare first and second retrieval, selection and grades.</w:t>
            </w:r>
          </w:p>
        </w:tc>
      </w:tr>
      <w:tr>
        <w:trPr>
          <w:cantSplit/>
          <w:tblHeader w:val="false"/>
        </w:trPr>
        <w:tc>
          <w:tcPr>
            <w:tcW w:type="dxa" w:w="3600"/>
            <w:shd w:fill="FFFFFF" w:val="clear"/>
            <w:tcMar>
              <w:top w:type="dxa" w:w="65"/>
              <w:left w:type="dxa" w:w="110"/>
              <w:bottom w:type="dxa" w:w="65"/>
              <w:right w:type="dxa" w:w="110"/>
            </w:tcMar>
          </w:tcPr>
          <w:p>
            <w:pPr>
              <w:spacing w:after="30"/>
            </w:pPr>
            <w:r>
              <w:rPr>
                <w:b w:val="false"/>
                <w:bCs w:val="false"/>
                <w:color w:val="203447"/>
                <w:sz w:val="19"/>
                <w:szCs w:val="19"/>
              </w:rPr>
              <w:t xml:space="preserve">Answer adds unsupported claims</w:t>
            </w:r>
          </w:p>
        </w:tc>
        <w:tc>
          <w:tcPr>
            <w:tcW w:type="dxa" w:w="5600"/>
            <w:shd w:fill="FFFFFF" w:val="clear"/>
            <w:tcMar>
              <w:top w:type="dxa" w:w="65"/>
              <w:left w:type="dxa" w:w="110"/>
              <w:bottom w:type="dxa" w:w="65"/>
              <w:right w:type="dxa" w:w="110"/>
            </w:tcMar>
          </w:tcPr>
          <w:p>
            <w:pPr>
              <w:spacing w:after="30"/>
            </w:pPr>
            <w:r>
              <w:rPr>
                <w:b w:val="false"/>
                <w:bCs w:val="false"/>
                <w:color w:val="203447"/>
                <w:sz w:val="19"/>
                <w:szCs w:val="19"/>
              </w:rPr>
              <w:t xml:space="preserve">Same context file: compare selected passages with that run’s final answer.</w:t>
            </w:r>
          </w:p>
        </w:tc>
      </w:tr>
      <w:tr>
        <w:trPr>
          <w:cantSplit/>
          <w:tblHeader w:val="false"/>
        </w:trPr>
        <w:tc>
          <w:tcPr>
            <w:tcW w:type="dxa" w:w="3600"/>
            <w:shd w:fill="F0F5F7" w:val="clear"/>
            <w:tcMar>
              <w:top w:type="dxa" w:w="65"/>
              <w:left w:type="dxa" w:w="110"/>
              <w:bottom w:type="dxa" w:w="65"/>
              <w:right w:type="dxa" w:w="110"/>
            </w:tcMar>
          </w:tcPr>
          <w:p>
            <w:pPr>
              <w:spacing w:after="30"/>
            </w:pPr>
            <w:r>
              <w:rPr>
                <w:b w:val="false"/>
                <w:bCs w:val="false"/>
                <w:color w:val="203447"/>
                <w:sz w:val="19"/>
                <w:szCs w:val="19"/>
              </w:rPr>
              <w:t xml:space="preserve">Incorrect reference or expectation</w:t>
            </w:r>
          </w:p>
        </w:tc>
        <w:tc>
          <w:tcPr>
            <w:tcW w:type="dxa" w:w="5600"/>
            <w:shd w:fill="F0F5F7" w:val="clear"/>
            <w:tcMar>
              <w:top w:type="dxa" w:w="65"/>
              <w:left w:type="dxa" w:w="110"/>
              <w:bottom w:type="dxa" w:w="65"/>
              <w:right w:type="dxa" w:w="110"/>
            </w:tcMar>
          </w:tcPr>
          <w:p>
            <w:pPr>
              <w:spacing w:after="30"/>
            </w:pPr>
            <w:r>
              <w:rPr>
                <w:b w:val="false"/>
                <w:bCs w:val="false"/>
                <w:color w:val="203447"/>
                <w:sz w:val="19"/>
                <w:szCs w:val="19"/>
              </w:rPr>
              <w:t xml:space="preserve">neuroscience_cases_20_draft.json and the original source document; review the label.</w:t>
            </w:r>
          </w:p>
        </w:tc>
      </w:tr>
    </w:tbl>
    <w:p>
      <w:pPr>
        <w:pStyle w:val="Heading2"/>
        <w:keepNext/>
        <w:spacing w:after="100" w:before="140"/>
      </w:pPr>
      <w:r>
        <w:t xml:space="preserve">Evidence and completion status</w:t>
      </w:r>
    </w:p>
    <w:p>
      <w:pPr>
        <w:spacing w:after="100"/>
      </w:pPr>
      <w:r>
        <w:t xml:space="preserve">Trace review: v4_context_20261012T100747595814Z.json. Paired comparison: v4_compare_cap0_20261012T125835081345Z.json and v4_compare_cap1_20261012T130023567079Z.json. Each comparison file records that arm’s full trace. Full code and outputs remain in the project files.</w:t>
      </w:r>
    </w:p>
    <w:p>
      <w:pPr>
        <w:spacing w:after="100"/>
      </w:pPr>
      <w:r>
        <w:t xml:space="preserve">Both rewrite-cap runs are complete; a V4 commit is not confirmed. V5: all 24 tests passed (18 unit and six graph integration tests). Last reported push: e24b2fb; commands.pages is untracked but remains in old history. V8 Azure is separate.</w:t>
      </w:r>
    </w:p>
    <w:sectPr>
      <w:footerReference w:type="default" r:id="rId7"/>
      <w:pgSz w:w="11906" w:h="16838" w:orient="portrait"/>
      <w:pgMar w:top="1000" w:right="1353" w:bottom="1000" w:left="13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7"/>
        <w:szCs w:val="17"/>
      </w:rPr>
      <w:t xml:space="preserve">BIOMEDICAL RAG · V4 |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447"/>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37B83"/>
      <w:sz w:val="31"/>
      <w:szCs w:val="31"/>
    </w:rPr>
  </w:style>
  <w:style w:type="paragraph" w:styleId="Heading2">
    <w:name w:val="Heading 2"/>
    <w:basedOn w:val="Normal"/>
    <w:next w:val="Normal"/>
    <w:qFormat/>
    <w:rPr>
      <w:b/>
      <w:bCs/>
      <w:color w:val="1939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Biomedical RAG V4 Evaluation</dc:title>
  <dc:creator>Biomedical RAG project</dc:creator>
  <cp:lastModifiedBy>Un-named</cp:lastModifiedBy>
  <cp:revision>1</cp:revision>
  <dcterms:created xsi:type="dcterms:W3CDTF">2026-10-12T14:52:55.033Z</dcterms:created>
  <dcterms:modified xsi:type="dcterms:W3CDTF">2026-10-12T14:52:55.033Z</dcterms:modified>
</cp:coreProperties>
</file>

<file path=docProps/custom.xml><?xml version="1.0" encoding="utf-8"?>
<Properties xmlns="http://schemas.openxmlformats.org/officeDocument/2006/custom-properties" xmlns:vt="http://schemas.openxmlformats.org/officeDocument/2006/docPropsVTypes"/>
</file>