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0"/>
      </w:pPr>
      <w:r>
        <w:rPr>
          <w:rFonts w:ascii="Aptos Display" w:hAnsi="Aptos Display"/>
          <w:b/>
          <w:color w:val="18324B"/>
          <w:sz w:val="50"/>
        </w:rPr>
        <w:t>POVERTYRADAR SDGs</w:t>
      </w:r>
    </w:p>
    <w:p>
      <w:pPr>
        <w:spacing w:after="40"/>
      </w:pPr>
      <w:r>
        <w:rPr>
          <w:rFonts w:ascii="Aptos" w:hAnsi="Aptos"/>
          <w:b/>
          <w:color w:val="0A8F8F"/>
          <w:sz w:val="26"/>
        </w:rPr>
        <w:t>Sistem Pemetaan Klaster dan Analisis Risiko Kemiskinan Daerah Indonesia</w:t>
      </w:r>
    </w:p>
    <w:p>
      <w:pPr>
        <w:spacing w:after="160"/>
      </w:pPr>
      <w:r>
        <w:rPr>
          <w:rFonts w:ascii="Aptos" w:hAnsi="Aptos"/>
          <w:b/>
          <w:color w:val="5C6B76"/>
          <w:sz w:val="16"/>
        </w:rPr>
        <w:t>DOKUMEN FINAL  •  PROBLEM FRAMING &amp; OBJEKTIF PROYEK  •  28 OKTOBER 2026</w:t>
      </w:r>
    </w:p>
    <w:tbl>
      <w:tblPr>
        <w:tblW w:type="auto" w:w="0"/>
        <w:tblLook w:firstColumn="1" w:firstRow="1" w:lastColumn="0" w:lastRow="0" w:noHBand="0" w:noVBand="1" w:val="04A0"/>
      </w:tblPr>
      <w:tblGrid>
        <w:gridCol w:w="10166"/>
      </w:tblGrid>
      <w:tr>
        <w:tc>
          <w:tcPr>
            <w:tcW w:type="dxa" w:w="10166"/>
            <w:shd w:fill="EAF3F7"/>
            <w:tcMar>
              <w:top w:w="140" w:type="dxa"/>
              <w:start w:w="170" w:type="dxa"/>
              <w:bottom w:w="140" w:type="dxa"/>
              <w:end w:w="170" w:type="dxa"/>
            </w:tcMar>
          </w:tcPr>
          <w:p>
            <w:pPr>
              <w:spacing w:after="60"/>
            </w:pPr>
            <w:r>
              <w:rPr>
                <w:rFonts w:ascii="Aptos" w:hAnsi="Aptos"/>
                <w:b/>
                <w:color w:val="18324B"/>
                <w:sz w:val="20"/>
              </w:rPr>
              <w:t>Ringkasan proyek</w:t>
            </w:r>
          </w:p>
          <w:p>
            <w:pPr>
              <w:spacing w:after="0" w:line="252" w:lineRule="auto"/>
            </w:pPr>
            <w:r>
              <w:rPr>
                <w:rFonts w:ascii="Aptos" w:hAnsi="Aptos"/>
                <w:color w:val="22313F"/>
                <w:sz w:val="18"/>
              </w:rPr>
              <w:t>PovertyRadar SDGs adalah explanatory dashboard interaktif yang menjelaskan persebaran persentase penduduk miskin (P0), perbedaan profil sosial-ekonomi antarkelompok daerah, serta wilayah yang layak dianalisis lebih lanjut berdasarkan indikator yang teramati. Filter, pencarian, dan tooltip membantu audiens memperdalam pemahaman tanpa menggantikan alur cerita utama. Fokusnya analisis deskriptif dan eksploratif, bukan prediksi kemiskinan masa depan.</w:t>
            </w:r>
          </w:p>
        </w:tc>
      </w:tr>
    </w:tbl>
    <w:p>
      <w:pPr>
        <w:spacing w:after="0"/>
      </w:pPr>
    </w:p>
    <w:p>
      <w:pPr>
        <w:pStyle w:val="Heading1"/>
      </w:pPr>
      <w:r>
        <w:t>1. Latar Belakang &amp; Problem Framing</w:t>
      </w:r>
    </w:p>
    <w:p>
      <w:r>
        <w:t>Kemiskinan antardaerah dapat hadir bersama kondisi pendidikan, kesehatan, ekonomi, sanitasi, air minum, dan ketenagakerjaan yang berbeda. Karena itu, persentase penduduk miskin saja belum cukup untuk menggambarkan kemiripan atau perbedaan profil sosial-ekonomi kabupaten/kota.</w:t>
      </w:r>
    </w:p>
    <w:p>
      <w:r>
        <w:t>Dataset yang digunakan menyediakan P0 dan sejumlah indikator sosial-ekonomi pada tingkat kabupaten/kota. Namun, file yang diaudit tidak memuat kolom tahun, sementara definisi kolom “Klasifikasi Kemiskinan” belum terverifikasi. Karena itu, proyek memetakan kondisi yang tercatat, menjelaskan kelompok profil daerah yang serupa, dan menyoroti wilayah yang layak diperiksa lebih lanjut melalui explanatory dashboard dengan interaksi terarah.</w:t>
      </w:r>
    </w:p>
    <w:tbl>
      <w:tblPr>
        <w:tblW w:type="auto" w:w="0"/>
        <w:tblLook w:firstColumn="1" w:firstRow="1" w:lastColumn="0" w:lastRow="0" w:noHBand="0" w:noVBand="1" w:val="04A0"/>
      </w:tblPr>
      <w:tblGrid>
        <w:gridCol w:w="10166"/>
      </w:tblGrid>
      <w:tr>
        <w:tc>
          <w:tcPr>
            <w:tcW w:type="dxa" w:w="10166"/>
            <w:shd w:fill="F4F7F9"/>
            <w:tcMar>
              <w:top w:w="140" w:type="dxa"/>
              <w:start w:w="170" w:type="dxa"/>
              <w:bottom w:w="140" w:type="dxa"/>
              <w:end w:w="170" w:type="dxa"/>
            </w:tcMar>
          </w:tcPr>
          <w:p>
            <w:pPr>
              <w:spacing w:after="60"/>
            </w:pPr>
            <w:r>
              <w:rPr>
                <w:rFonts w:ascii="Aptos" w:hAnsi="Aptos"/>
                <w:b/>
                <w:color w:val="18324B"/>
                <w:sz w:val="20"/>
              </w:rPr>
              <w:t>Rumusan masalah utama</w:t>
            </w:r>
          </w:p>
          <w:p>
            <w:pPr>
              <w:spacing w:after="0" w:line="252" w:lineRule="auto"/>
            </w:pPr>
            <w:r>
              <w:rPr>
                <w:rFonts w:ascii="Aptos" w:hAnsi="Aptos"/>
                <w:color w:val="22313F"/>
                <w:sz w:val="18"/>
              </w:rPr>
              <w:t>Bagaimana data kemiskinan dan indikator sosial-ekonomi kabupaten/kota yang tersedia dapat dianalisis dan dikomunikasikan melalui explanatory dashboard untuk menjelaskan persebaran P0, menemukan kelompok profil sosial-ekonomi yang serupa, serta menyoroti wilayah dengan indikasi kerentanan relatif guna mendukung analisis lanjutan yang selaras dengan SDG 1?</w:t>
            </w:r>
          </w:p>
        </w:tc>
      </w:tr>
    </w:tbl>
    <w:p>
      <w:pPr>
        <w:spacing w:after="0"/>
      </w:pPr>
    </w:p>
    <w:p>
      <w:pPr>
        <w:pStyle w:val="Heading2"/>
      </w:pPr>
      <w:r>
        <w:t>Pertanyaan analitis</w:t>
      </w:r>
    </w:p>
    <w:p>
      <w:pPr>
        <w:pStyle w:val="ListBullet"/>
        <w:spacing w:after="40"/>
        <w:ind w:left="317" w:hanging="173"/>
      </w:pPr>
      <w:r>
        <w:t>Bagaimana distribusi P0 dan variasinya antardaerah dalam dataset?</w:t>
      </w:r>
    </w:p>
    <w:p>
      <w:pPr>
        <w:pStyle w:val="ListBullet"/>
        <w:spacing w:after="40"/>
        <w:ind w:left="317" w:hanging="173"/>
      </w:pPr>
      <w:r>
        <w:t>Indikator sosial-ekonomi apa yang menunjukkan asosiasi dengan P0, tanpa menafsirkan asosiasi sebagai sebab-akibat?</w:t>
      </w:r>
    </w:p>
    <w:p>
      <w:pPr>
        <w:pStyle w:val="ListBullet"/>
        <w:spacing w:after="40"/>
        <w:ind w:left="317" w:hanging="173"/>
      </w:pPr>
      <w:r>
        <w:t>Kelompok profil sosial-ekonomi apa yang dapat ditemukan jika P0 dan label klasifikasi tidak digunakan untuk membentuk cluster?</w:t>
      </w:r>
    </w:p>
    <w:p>
      <w:pPr>
        <w:pStyle w:val="ListBullet"/>
        <w:spacing w:after="40"/>
        <w:ind w:left="317" w:hanging="173"/>
      </w:pPr>
      <w:r>
        <w:t>Apa ciri pembeda setiap cluster, dan wilayah mana yang memiliki P0 tinggi sekaligus beberapa indikator relatif tertinggal?</w:t>
      </w:r>
    </w:p>
    <w:p>
      <w:r>
        <w:br w:type="page"/>
      </w:r>
    </w:p>
    <w:p>
      <w:pPr>
        <w:pStyle w:val="Heading1"/>
      </w:pPr>
      <w:r>
        <w:t>2. Data Understanding &amp; Hasil Audit</w:t>
      </w:r>
    </w:p>
    <w:p>
      <w:r>
        <w:t>Pemeriksaan dilakukan langsung terhadap file CSV yang diunggah. Statistik berikut hanya menggambarkan file tersebut; tahun referensi, satuan tertentu, dan definisi operasional variabel tetap perlu dikonfirmasi dari dokumentasi sumber.</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613"/>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Aspek</w:t>
            </w:r>
          </w:p>
        </w:tc>
        <w:tc>
          <w:tcPr>
            <w:tcW w:type="dxa" w:w="4248"/>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Temuan pada file</w:t>
            </w:r>
          </w:p>
        </w:tc>
        <w:tc>
          <w:tcPr>
            <w:tcW w:type="dxa" w:w="3672"/>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Implikasi</w:t>
            </w:r>
          </w:p>
        </w:tc>
      </w:tr>
      <w:tr>
        <w:trPr>
          <w:cantSplit/>
        </w:trPr>
        <w:tc>
          <w:tcPr>
            <w:tcW w:type="dxa" w:w="1613"/>
            <w:vAlign w:val="center"/>
            <w:tcMar>
              <w:top w:w="45" w:type="dxa"/>
              <w:start w:w="90" w:type="dxa"/>
              <w:bottom w:w="45" w:type="dxa"/>
              <w:end w:w="90" w:type="dxa"/>
            </w:tcMar>
          </w:tcPr>
          <w:p>
            <w:pPr>
              <w:spacing w:after="20" w:before="20" w:line="240" w:lineRule="auto"/>
            </w:pPr>
            <w:r>
              <w:rPr>
                <w:rFonts w:ascii="Aptos" w:hAnsi="Aptos"/>
                <w:color w:val="22313F"/>
                <w:sz w:val="16"/>
              </w:rPr>
              <w:t>Struktur data</w:t>
            </w:r>
          </w:p>
        </w:tc>
        <w:tc>
          <w:tcPr>
            <w:tcW w:type="dxa" w:w="4248"/>
            <w:vAlign w:val="center"/>
            <w:tcMar>
              <w:top w:w="45" w:type="dxa"/>
              <w:start w:w="90" w:type="dxa"/>
              <w:bottom w:w="45" w:type="dxa"/>
              <w:end w:w="90" w:type="dxa"/>
            </w:tcMar>
          </w:tcPr>
          <w:p>
            <w:pPr>
              <w:spacing w:after="20" w:before="20" w:line="240" w:lineRule="auto"/>
            </w:pPr>
            <w:r>
              <w:rPr>
                <w:rFonts w:ascii="Aptos" w:hAnsi="Aptos"/>
                <w:color w:val="22313F"/>
                <w:sz w:val="16"/>
              </w:rPr>
              <w:t>514 baris × 13 kolom; 2 kolom identitas wilayah, 10 indikator numerik, 1 label klasifikasi.</w:t>
            </w:r>
          </w:p>
        </w:tc>
        <w:tc>
          <w:tcPr>
            <w:tcW w:type="dxa" w:w="3672"/>
            <w:vAlign w:val="center"/>
            <w:tcMar>
              <w:top w:w="45" w:type="dxa"/>
              <w:start w:w="90" w:type="dxa"/>
              <w:bottom w:w="45" w:type="dxa"/>
              <w:end w:w="90" w:type="dxa"/>
            </w:tcMar>
          </w:tcPr>
          <w:p>
            <w:pPr>
              <w:spacing w:after="20" w:before="20" w:line="240" w:lineRule="auto"/>
            </w:pPr>
            <w:r>
              <w:rPr>
                <w:rFonts w:ascii="Aptos" w:hAnsi="Aptos"/>
                <w:color w:val="22313F"/>
                <w:sz w:val="16"/>
              </w:rPr>
              <w:t>Cukup untuk memulai analisis eksploratif pada wilayah yang tercakup.</w:t>
            </w:r>
          </w:p>
        </w:tc>
      </w:tr>
      <w:tr>
        <w:trPr>
          <w:cantSplit/>
        </w:trPr>
        <w:tc>
          <w:tcPr>
            <w:tcW w:type="dxa" w:w="1613"/>
            <w:vAlign w:val="center"/>
            <w:tcMar>
              <w:top w:w="45" w:type="dxa"/>
              <w:start w:w="90" w:type="dxa"/>
              <w:bottom w:w="45" w:type="dxa"/>
              <w:end w:w="90" w:type="dxa"/>
            </w:tcMar>
            <w:shd w:fill="F4F7F9"/>
          </w:tcPr>
          <w:p>
            <w:pPr>
              <w:spacing w:after="20" w:before="20" w:line="240" w:lineRule="auto"/>
            </w:pPr>
            <w:r>
              <w:rPr>
                <w:rFonts w:ascii="Aptos" w:hAnsi="Aptos"/>
                <w:color w:val="22313F"/>
                <w:sz w:val="16"/>
              </w:rPr>
              <w:t>Kelengkapan/duplikasi</w:t>
            </w:r>
          </w:p>
        </w:tc>
        <w:tc>
          <w:tcPr>
            <w:tcW w:type="dxa" w:w="4248"/>
            <w:vAlign w:val="center"/>
            <w:tcMar>
              <w:top w:w="45" w:type="dxa"/>
              <w:start w:w="90" w:type="dxa"/>
              <w:bottom w:w="45" w:type="dxa"/>
              <w:end w:w="90" w:type="dxa"/>
            </w:tcMar>
            <w:shd w:fill="F4F7F9"/>
          </w:tcPr>
          <w:p>
            <w:pPr>
              <w:spacing w:after="20" w:before="20" w:line="240" w:lineRule="auto"/>
            </w:pPr>
            <w:r>
              <w:rPr>
                <w:rFonts w:ascii="Aptos" w:hAnsi="Aptos"/>
                <w:color w:val="22313F"/>
                <w:sz w:val="16"/>
              </w:rPr>
              <w:t>Tidak ditemukan nilai kosong, duplikasi baris penuh, atau duplikasi pasangan Provinsi–Kab/Kota.</w:t>
            </w:r>
          </w:p>
        </w:tc>
        <w:tc>
          <w:tcPr>
            <w:tcW w:type="dxa" w:w="3672"/>
            <w:vAlign w:val="center"/>
            <w:tcMar>
              <w:top w:w="45" w:type="dxa"/>
              <w:start w:w="90" w:type="dxa"/>
              <w:bottom w:w="45" w:type="dxa"/>
              <w:end w:w="90" w:type="dxa"/>
            </w:tcMar>
            <w:shd w:fill="F4F7F9"/>
          </w:tcPr>
          <w:p>
            <w:pPr>
              <w:spacing w:after="20" w:before="20" w:line="240" w:lineRule="auto"/>
            </w:pPr>
            <w:r>
              <w:rPr>
                <w:rFonts w:ascii="Aptos" w:hAnsi="Aptos"/>
                <w:color w:val="22313F"/>
                <w:sz w:val="16"/>
              </w:rPr>
              <w:t>Tetap perlu validasi kewajaran nilai dan konsistensi definisi.</w:t>
            </w:r>
          </w:p>
        </w:tc>
      </w:tr>
      <w:tr>
        <w:trPr>
          <w:cantSplit/>
        </w:trPr>
        <w:tc>
          <w:tcPr>
            <w:tcW w:type="dxa" w:w="1613"/>
            <w:vAlign w:val="center"/>
            <w:tcMar>
              <w:top w:w="45" w:type="dxa"/>
              <w:start w:w="90" w:type="dxa"/>
              <w:bottom w:w="45" w:type="dxa"/>
              <w:end w:w="90" w:type="dxa"/>
            </w:tcMar>
          </w:tcPr>
          <w:p>
            <w:pPr>
              <w:spacing w:after="20" w:before="20" w:line="240" w:lineRule="auto"/>
            </w:pPr>
            <w:r>
              <w:rPr>
                <w:rFonts w:ascii="Aptos" w:hAnsi="Aptos"/>
                <w:color w:val="22313F"/>
                <w:sz w:val="16"/>
              </w:rPr>
              <w:t>Cakupan</w:t>
            </w:r>
          </w:p>
        </w:tc>
        <w:tc>
          <w:tcPr>
            <w:tcW w:type="dxa" w:w="4248"/>
            <w:vAlign w:val="center"/>
            <w:tcMar>
              <w:top w:w="45" w:type="dxa"/>
              <w:start w:w="90" w:type="dxa"/>
              <w:bottom w:w="45" w:type="dxa"/>
              <w:end w:w="90" w:type="dxa"/>
            </w:tcMar>
          </w:tcPr>
          <w:p>
            <w:pPr>
              <w:spacing w:after="20" w:before="20" w:line="240" w:lineRule="auto"/>
            </w:pPr>
            <w:r>
              <w:rPr>
                <w:rFonts w:ascii="Aptos" w:hAnsi="Aptos"/>
                <w:color w:val="22313F"/>
                <w:sz w:val="16"/>
              </w:rPr>
              <w:t>34 nama provinsi dan 514 pasangan wilayah unik; kolom tahun tidak tersedia.</w:t>
            </w:r>
          </w:p>
        </w:tc>
        <w:tc>
          <w:tcPr>
            <w:tcW w:type="dxa" w:w="3672"/>
            <w:vAlign w:val="center"/>
            <w:tcMar>
              <w:top w:w="45" w:type="dxa"/>
              <w:start w:w="90" w:type="dxa"/>
              <w:bottom w:w="45" w:type="dxa"/>
              <w:end w:w="90" w:type="dxa"/>
            </w:tcMar>
          </w:tcPr>
          <w:p>
            <w:pPr>
              <w:spacing w:after="20" w:before="20" w:line="240" w:lineRule="auto"/>
            </w:pPr>
            <w:r>
              <w:rPr>
                <w:rFonts w:ascii="Aptos" w:hAnsi="Aptos"/>
                <w:color w:val="22313F"/>
                <w:sz w:val="16"/>
              </w:rPr>
              <w:t>Verifikasi periode dan cakupan administratif sebelum menyebutnya kondisi Indonesia terkini.</w:t>
            </w:r>
          </w:p>
        </w:tc>
      </w:tr>
      <w:tr>
        <w:trPr>
          <w:cantSplit/>
        </w:trPr>
        <w:tc>
          <w:tcPr>
            <w:tcW w:type="dxa" w:w="1613"/>
            <w:vAlign w:val="center"/>
            <w:tcMar>
              <w:top w:w="45" w:type="dxa"/>
              <w:start w:w="90" w:type="dxa"/>
              <w:bottom w:w="45" w:type="dxa"/>
              <w:end w:w="90" w:type="dxa"/>
            </w:tcMar>
            <w:shd w:fill="F4F7F9"/>
          </w:tcPr>
          <w:p>
            <w:pPr>
              <w:spacing w:after="20" w:before="20" w:line="240" w:lineRule="auto"/>
            </w:pPr>
            <w:r>
              <w:rPr>
                <w:rFonts w:ascii="Aptos" w:hAnsi="Aptos"/>
                <w:color w:val="22313F"/>
                <w:sz w:val="16"/>
              </w:rPr>
              <w:t>P0</w:t>
            </w:r>
          </w:p>
        </w:tc>
        <w:tc>
          <w:tcPr>
            <w:tcW w:type="dxa" w:w="4248"/>
            <w:vAlign w:val="center"/>
            <w:tcMar>
              <w:top w:w="45" w:type="dxa"/>
              <w:start w:w="90" w:type="dxa"/>
              <w:bottom w:w="45" w:type="dxa"/>
              <w:end w:w="90" w:type="dxa"/>
            </w:tcMar>
            <w:shd w:fill="F4F7F9"/>
          </w:tcPr>
          <w:p>
            <w:pPr>
              <w:spacing w:after="20" w:before="20" w:line="240" w:lineRule="auto"/>
            </w:pPr>
            <w:r>
              <w:rPr>
                <w:rFonts w:ascii="Aptos" w:hAnsi="Aptos"/>
                <w:color w:val="22313F"/>
                <w:sz w:val="16"/>
              </w:rPr>
              <w:t>Median 10,46%; rentang 2,38%–41,66%.</w:t>
            </w:r>
          </w:p>
        </w:tc>
        <w:tc>
          <w:tcPr>
            <w:tcW w:type="dxa" w:w="3672"/>
            <w:vAlign w:val="center"/>
            <w:tcMar>
              <w:top w:w="45" w:type="dxa"/>
              <w:start w:w="90" w:type="dxa"/>
              <w:bottom w:w="45" w:type="dxa"/>
              <w:end w:w="90" w:type="dxa"/>
            </w:tcMar>
            <w:shd w:fill="F4F7F9"/>
          </w:tcPr>
          <w:p>
            <w:pPr>
              <w:spacing w:after="20" w:before="20" w:line="240" w:lineRule="auto"/>
            </w:pPr>
            <w:r>
              <w:rPr>
                <w:rFonts w:ascii="Aptos" w:hAnsi="Aptos"/>
                <w:color w:val="22313F"/>
                <w:sz w:val="16"/>
              </w:rPr>
              <w:t>Bisa dipakai untuk ringkasan dan pemetaan setelah tahun data diverifikasi.</w:t>
            </w:r>
          </w:p>
        </w:tc>
      </w:tr>
      <w:tr>
        <w:trPr>
          <w:cantSplit/>
        </w:trPr>
        <w:tc>
          <w:tcPr>
            <w:tcW w:type="dxa" w:w="1613"/>
            <w:vAlign w:val="center"/>
            <w:tcMar>
              <w:top w:w="45" w:type="dxa"/>
              <w:start w:w="90" w:type="dxa"/>
              <w:bottom w:w="45" w:type="dxa"/>
              <w:end w:w="90" w:type="dxa"/>
            </w:tcMar>
          </w:tcPr>
          <w:p>
            <w:pPr>
              <w:spacing w:after="20" w:before="20" w:line="240" w:lineRule="auto"/>
            </w:pPr>
            <w:r>
              <w:rPr>
                <w:rFonts w:ascii="Aptos" w:hAnsi="Aptos"/>
                <w:color w:val="22313F"/>
                <w:sz w:val="16"/>
              </w:rPr>
              <w:t>Label klasifikasi</w:t>
            </w:r>
          </w:p>
        </w:tc>
        <w:tc>
          <w:tcPr>
            <w:tcW w:type="dxa" w:w="4248"/>
            <w:vAlign w:val="center"/>
            <w:tcMar>
              <w:top w:w="45" w:type="dxa"/>
              <w:start w:w="90" w:type="dxa"/>
              <w:bottom w:w="45" w:type="dxa"/>
              <w:end w:w="90" w:type="dxa"/>
            </w:tcMar>
          </w:tcPr>
          <w:p>
            <w:pPr>
              <w:spacing w:after="20" w:before="20" w:line="240" w:lineRule="auto"/>
            </w:pPr>
            <w:r>
              <w:rPr>
                <w:rFonts w:ascii="Aptos" w:hAnsi="Aptos"/>
                <w:color w:val="22313F"/>
                <w:sz w:val="16"/>
              </w:rPr>
              <w:t>452 label 0 dan 62 label 1. Sebanyak 507 dari 514 baris sesuai dengan aturan pembanding P0 ≥ 20%; ada 7 pengecualian.</w:t>
            </w:r>
          </w:p>
        </w:tc>
        <w:tc>
          <w:tcPr>
            <w:tcW w:type="dxa" w:w="3672"/>
            <w:vAlign w:val="center"/>
            <w:tcMar>
              <w:top w:w="45" w:type="dxa"/>
              <w:start w:w="90" w:type="dxa"/>
              <w:bottom w:w="45" w:type="dxa"/>
              <w:end w:w="90" w:type="dxa"/>
            </w:tcMar>
          </w:tcPr>
          <w:p>
            <w:pPr>
              <w:spacing w:after="20" w:before="20" w:line="240" w:lineRule="auto"/>
            </w:pPr>
            <w:r>
              <w:rPr>
                <w:rFonts w:ascii="Aptos" w:hAnsi="Aptos"/>
                <w:color w:val="22313F"/>
                <w:sz w:val="16"/>
              </w:rPr>
              <w:t>Aturan label belum terbukti. Jangan jadikan target klasifikasi atau dasar kategori resmi.</w:t>
            </w:r>
          </w:p>
        </w:tc>
      </w:tr>
      <w:tr>
        <w:trPr>
          <w:cantSplit/>
        </w:trPr>
        <w:tc>
          <w:tcPr>
            <w:tcW w:type="dxa" w:w="1613"/>
            <w:vAlign w:val="center"/>
            <w:tcMar>
              <w:top w:w="45" w:type="dxa"/>
              <w:start w:w="90" w:type="dxa"/>
              <w:bottom w:w="45" w:type="dxa"/>
              <w:end w:w="90" w:type="dxa"/>
            </w:tcMar>
            <w:shd w:fill="F4F7F9"/>
          </w:tcPr>
          <w:p>
            <w:pPr>
              <w:spacing w:after="20" w:before="20" w:line="240" w:lineRule="auto"/>
            </w:pPr>
            <w:r>
              <w:rPr>
                <w:rFonts w:ascii="Aptos" w:hAnsi="Aptos"/>
                <w:color w:val="22313F"/>
                <w:sz w:val="16"/>
              </w:rPr>
              <w:t>Distribusi/arti nilai</w:t>
            </w:r>
          </w:p>
        </w:tc>
        <w:tc>
          <w:tcPr>
            <w:tcW w:type="dxa" w:w="4248"/>
            <w:vAlign w:val="center"/>
            <w:tcMar>
              <w:top w:w="45" w:type="dxa"/>
              <w:start w:w="90" w:type="dxa"/>
              <w:bottom w:w="45" w:type="dxa"/>
              <w:end w:w="90" w:type="dxa"/>
            </w:tcMar>
            <w:shd w:fill="F4F7F9"/>
          </w:tcPr>
          <w:p>
            <w:pPr>
              <w:spacing w:after="20" w:before="20" w:line="240" w:lineRule="auto"/>
            </w:pPr>
            <w:r>
              <w:rPr>
                <w:rFonts w:ascii="Aptos" w:hAnsi="Aptos"/>
                <w:color w:val="22313F"/>
                <w:sz w:val="16"/>
              </w:rPr>
              <w:t>PDRB sangat menceng; satuan/periode perlu dicek. Ada nilai 0 pada sebagian data sanitasi, air minum, dan TPT.</w:t>
            </w:r>
          </w:p>
        </w:tc>
        <w:tc>
          <w:tcPr>
            <w:tcW w:type="dxa" w:w="3672"/>
            <w:vAlign w:val="center"/>
            <w:tcMar>
              <w:top w:w="45" w:type="dxa"/>
              <w:start w:w="90" w:type="dxa"/>
              <w:bottom w:w="45" w:type="dxa"/>
              <w:end w:w="90" w:type="dxa"/>
            </w:tcMar>
            <w:shd w:fill="F4F7F9"/>
          </w:tcPr>
          <w:p>
            <w:pPr>
              <w:spacing w:after="20" w:before="20" w:line="240" w:lineRule="auto"/>
            </w:pPr>
            <w:r>
              <w:rPr>
                <w:rFonts w:ascii="Aptos" w:hAnsi="Aptos"/>
                <w:color w:val="22313F"/>
                <w:sz w:val="16"/>
              </w:rPr>
              <w:t>Verifikasi apakah nilai valid atau kode khusus sebelum memilih fitur dan transformasi.</w:t>
            </w:r>
          </w:p>
        </w:tc>
      </w:tr>
      <w:tr>
        <w:trPr>
          <w:cantSplit/>
        </w:trPr>
        <w:tc>
          <w:tcPr>
            <w:tcW w:type="dxa" w:w="1613"/>
            <w:vAlign w:val="center"/>
            <w:tcMar>
              <w:top w:w="45" w:type="dxa"/>
              <w:start w:w="90" w:type="dxa"/>
              <w:bottom w:w="45" w:type="dxa"/>
              <w:end w:w="90" w:type="dxa"/>
            </w:tcMar>
          </w:tcPr>
          <w:p>
            <w:pPr>
              <w:spacing w:after="20" w:before="20" w:line="240" w:lineRule="auto"/>
            </w:pPr>
            <w:r>
              <w:rPr>
                <w:rFonts w:ascii="Aptos" w:hAnsi="Aptos"/>
                <w:color w:val="22313F"/>
                <w:sz w:val="16"/>
              </w:rPr>
              <w:t>Geospasial</w:t>
            </w:r>
          </w:p>
        </w:tc>
        <w:tc>
          <w:tcPr>
            <w:tcW w:type="dxa" w:w="4248"/>
            <w:vAlign w:val="center"/>
            <w:tcMar>
              <w:top w:w="45" w:type="dxa"/>
              <w:start w:w="90" w:type="dxa"/>
              <w:bottom w:w="45" w:type="dxa"/>
              <w:end w:w="90" w:type="dxa"/>
            </w:tcMar>
          </w:tcPr>
          <w:p>
            <w:pPr>
              <w:spacing w:after="20" w:before="20" w:line="240" w:lineRule="auto"/>
            </w:pPr>
            <w:r>
              <w:rPr>
                <w:rFonts w:ascii="Aptos" w:hAnsi="Aptos"/>
                <w:color w:val="22313F"/>
                <w:sz w:val="16"/>
              </w:rPr>
              <w:t>CSV tidak memuat geometri atau koordinat batas wilayah.</w:t>
            </w:r>
          </w:p>
        </w:tc>
        <w:tc>
          <w:tcPr>
            <w:tcW w:type="dxa" w:w="3672"/>
            <w:vAlign w:val="center"/>
            <w:tcMar>
              <w:top w:w="45" w:type="dxa"/>
              <w:start w:w="90" w:type="dxa"/>
              <w:bottom w:w="45" w:type="dxa"/>
              <w:end w:w="90" w:type="dxa"/>
            </w:tcMar>
          </w:tcPr>
          <w:p>
            <w:pPr>
              <w:spacing w:after="20" w:before="20" w:line="240" w:lineRule="auto"/>
            </w:pPr>
            <w:r>
              <w:rPr>
                <w:rFonts w:ascii="Aptos" w:hAnsi="Aptos"/>
                <w:color w:val="22313F"/>
                <w:sz w:val="16"/>
              </w:rPr>
              <w:t>Peta perlu layer administratif eksternal dan pencocokan nama yang terdokumentasi.</w:t>
            </w:r>
          </w:p>
        </w:tc>
      </w:tr>
    </w:tbl>
    <w:p>
      <w:pPr>
        <w:spacing w:after="0"/>
      </w:pPr>
    </w:p>
    <w:p>
      <w:pPr>
        <w:pStyle w:val="Heading2"/>
      </w:pPr>
      <w:r>
        <w:t>Kelompok variabel</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800"/>
            <w:vAlign w:val="center"/>
            <w:tcMar>
              <w:top w:w="45" w:type="dxa"/>
              <w:start w:w="90" w:type="dxa"/>
              <w:bottom w:w="45" w:type="dxa"/>
              <w:end w:w="90" w:type="dxa"/>
            </w:tcMar>
            <w:shd w:fill="18324B"/>
          </w:tcPr>
          <w:p>
            <w:pPr>
              <w:spacing w:after="20" w:before="20" w:line="240" w:lineRule="auto"/>
            </w:pPr>
            <w:r>
              <w:rPr>
                <w:rFonts w:ascii="Aptos" w:hAnsi="Aptos"/>
                <w:b/>
                <w:color w:val="FFFFFF"/>
                <w:sz w:val="15"/>
              </w:rPr>
              <w:t>Kelompok</w:t>
            </w:r>
          </w:p>
        </w:tc>
        <w:tc>
          <w:tcPr>
            <w:tcW w:type="dxa" w:w="3816"/>
            <w:vAlign w:val="center"/>
            <w:tcMar>
              <w:top w:w="45" w:type="dxa"/>
              <w:start w:w="90" w:type="dxa"/>
              <w:bottom w:w="45" w:type="dxa"/>
              <w:end w:w="90" w:type="dxa"/>
            </w:tcMar>
            <w:shd w:fill="18324B"/>
          </w:tcPr>
          <w:p>
            <w:pPr>
              <w:spacing w:after="20" w:before="20" w:line="240" w:lineRule="auto"/>
            </w:pPr>
            <w:r>
              <w:rPr>
                <w:rFonts w:ascii="Aptos" w:hAnsi="Aptos"/>
                <w:b/>
                <w:color w:val="FFFFFF"/>
                <w:sz w:val="15"/>
              </w:rPr>
              <w:t>Variabel dari dataset</w:t>
            </w:r>
          </w:p>
        </w:tc>
        <w:tc>
          <w:tcPr>
            <w:tcW w:type="dxa" w:w="3917"/>
            <w:vAlign w:val="center"/>
            <w:tcMar>
              <w:top w:w="45" w:type="dxa"/>
              <w:start w:w="90" w:type="dxa"/>
              <w:bottom w:w="45" w:type="dxa"/>
              <w:end w:w="90" w:type="dxa"/>
            </w:tcMar>
            <w:shd w:fill="18324B"/>
          </w:tcPr>
          <w:p>
            <w:pPr>
              <w:spacing w:after="20" w:before="20" w:line="240" w:lineRule="auto"/>
            </w:pPr>
            <w:r>
              <w:rPr>
                <w:rFonts w:ascii="Aptos" w:hAnsi="Aptos"/>
                <w:b/>
                <w:color w:val="FFFFFF"/>
                <w:sz w:val="15"/>
              </w:rPr>
              <w:t>Peran awal</w:t>
            </w:r>
          </w:p>
        </w:tc>
      </w:tr>
      <w:tr>
        <w:trPr>
          <w:cantSplit/>
        </w:trPr>
        <w:tc>
          <w:tcPr>
            <w:tcW w:type="dxa" w:w="1800"/>
            <w:vAlign w:val="center"/>
            <w:tcMar>
              <w:top w:w="45" w:type="dxa"/>
              <w:start w:w="90" w:type="dxa"/>
              <w:bottom w:w="45" w:type="dxa"/>
              <w:end w:w="90" w:type="dxa"/>
            </w:tcMar>
          </w:tcPr>
          <w:p>
            <w:pPr>
              <w:spacing w:after="20" w:before="20" w:line="240" w:lineRule="auto"/>
            </w:pPr>
            <w:r>
              <w:rPr>
                <w:rFonts w:ascii="Aptos" w:hAnsi="Aptos"/>
                <w:color w:val="22313F"/>
                <w:sz w:val="15"/>
              </w:rPr>
              <w:t>Kemiskinan</w:t>
            </w:r>
          </w:p>
        </w:tc>
        <w:tc>
          <w:tcPr>
            <w:tcW w:type="dxa" w:w="3816"/>
            <w:vAlign w:val="center"/>
            <w:tcMar>
              <w:top w:w="45" w:type="dxa"/>
              <w:start w:w="90" w:type="dxa"/>
              <w:bottom w:w="45" w:type="dxa"/>
              <w:end w:w="90" w:type="dxa"/>
            </w:tcMar>
          </w:tcPr>
          <w:p>
            <w:pPr>
              <w:spacing w:after="20" w:before="20" w:line="240" w:lineRule="auto"/>
            </w:pPr>
            <w:r>
              <w:rPr>
                <w:rFonts w:ascii="Aptos" w:hAnsi="Aptos"/>
                <w:color w:val="22313F"/>
                <w:sz w:val="15"/>
              </w:rPr>
              <w:t>Persentase Penduduk Miskin (P0)</w:t>
            </w:r>
          </w:p>
        </w:tc>
        <w:tc>
          <w:tcPr>
            <w:tcW w:type="dxa" w:w="3917"/>
            <w:vAlign w:val="center"/>
            <w:tcMar>
              <w:top w:w="45" w:type="dxa"/>
              <w:start w:w="90" w:type="dxa"/>
              <w:bottom w:w="45" w:type="dxa"/>
              <w:end w:w="90" w:type="dxa"/>
            </w:tcMar>
          </w:tcPr>
          <w:p>
            <w:pPr>
              <w:spacing w:after="20" w:before="20" w:line="240" w:lineRule="auto"/>
            </w:pPr>
            <w:r>
              <w:rPr>
                <w:rFonts w:ascii="Aptos" w:hAnsi="Aptos"/>
                <w:color w:val="22313F"/>
                <w:sz w:val="15"/>
              </w:rPr>
              <w:t>Indikator utama untuk peta dan pembanding hasil cluster.</w:t>
            </w:r>
          </w:p>
        </w:tc>
      </w:tr>
      <w:tr>
        <w:trPr>
          <w:cantSplit/>
        </w:trPr>
        <w:tc>
          <w:tcPr>
            <w:tcW w:type="dxa" w:w="1800"/>
            <w:vAlign w:val="center"/>
            <w:tcMar>
              <w:top w:w="45" w:type="dxa"/>
              <w:start w:w="90" w:type="dxa"/>
              <w:bottom w:w="45" w:type="dxa"/>
              <w:end w:w="90" w:type="dxa"/>
            </w:tcMar>
            <w:shd w:fill="F4F7F9"/>
          </w:tcPr>
          <w:p>
            <w:pPr>
              <w:spacing w:after="20" w:before="20" w:line="240" w:lineRule="auto"/>
            </w:pPr>
            <w:r>
              <w:rPr>
                <w:rFonts w:ascii="Aptos" w:hAnsi="Aptos"/>
                <w:color w:val="22313F"/>
                <w:sz w:val="15"/>
              </w:rPr>
              <w:t>Pendidikan</w:t>
            </w:r>
          </w:p>
        </w:tc>
        <w:tc>
          <w:tcPr>
            <w:tcW w:type="dxa" w:w="3816"/>
            <w:vAlign w:val="center"/>
            <w:tcMar>
              <w:top w:w="45" w:type="dxa"/>
              <w:start w:w="90" w:type="dxa"/>
              <w:bottom w:w="45" w:type="dxa"/>
              <w:end w:w="90" w:type="dxa"/>
            </w:tcMar>
            <w:shd w:fill="F4F7F9"/>
          </w:tcPr>
          <w:p>
            <w:pPr>
              <w:spacing w:after="20" w:before="20" w:line="240" w:lineRule="auto"/>
            </w:pPr>
            <w:r>
              <w:rPr>
                <w:rFonts w:ascii="Aptos" w:hAnsi="Aptos"/>
                <w:color w:val="22313F"/>
                <w:sz w:val="15"/>
              </w:rPr>
              <w:t>Rata-rata lama sekolah penduduk 15+</w:t>
            </w:r>
          </w:p>
        </w:tc>
        <w:tc>
          <w:tcPr>
            <w:tcW w:type="dxa" w:w="3917"/>
            <w:vAlign w:val="center"/>
            <w:tcMar>
              <w:top w:w="45" w:type="dxa"/>
              <w:start w:w="90" w:type="dxa"/>
              <w:bottom w:w="45" w:type="dxa"/>
              <w:end w:w="90" w:type="dxa"/>
            </w:tcMar>
            <w:shd w:fill="F4F7F9"/>
          </w:tcPr>
          <w:p>
            <w:pPr>
              <w:spacing w:after="20" w:before="20" w:line="240" w:lineRule="auto"/>
            </w:pPr>
            <w:r>
              <w:rPr>
                <w:rFonts w:ascii="Aptos" w:hAnsi="Aptos"/>
                <w:color w:val="22313F"/>
                <w:sz w:val="15"/>
              </w:rPr>
              <w:t>Calon fitur clustering.</w:t>
            </w:r>
          </w:p>
        </w:tc>
      </w:tr>
      <w:tr>
        <w:trPr>
          <w:cantSplit/>
        </w:trPr>
        <w:tc>
          <w:tcPr>
            <w:tcW w:type="dxa" w:w="1800"/>
            <w:vAlign w:val="center"/>
            <w:tcMar>
              <w:top w:w="45" w:type="dxa"/>
              <w:start w:w="90" w:type="dxa"/>
              <w:bottom w:w="45" w:type="dxa"/>
              <w:end w:w="90" w:type="dxa"/>
            </w:tcMar>
          </w:tcPr>
          <w:p>
            <w:pPr>
              <w:spacing w:after="20" w:before="20" w:line="240" w:lineRule="auto"/>
            </w:pPr>
            <w:r>
              <w:rPr>
                <w:rFonts w:ascii="Aptos" w:hAnsi="Aptos"/>
                <w:color w:val="22313F"/>
                <w:sz w:val="15"/>
              </w:rPr>
              <w:t>Ekonomi/standar hidup</w:t>
            </w:r>
          </w:p>
        </w:tc>
        <w:tc>
          <w:tcPr>
            <w:tcW w:type="dxa" w:w="3816"/>
            <w:vAlign w:val="center"/>
            <w:tcMar>
              <w:top w:w="45" w:type="dxa"/>
              <w:start w:w="90" w:type="dxa"/>
              <w:bottom w:w="45" w:type="dxa"/>
              <w:end w:w="90" w:type="dxa"/>
            </w:tcMar>
          </w:tcPr>
          <w:p>
            <w:pPr>
              <w:spacing w:after="20" w:before="20" w:line="240" w:lineRule="auto"/>
            </w:pPr>
            <w:r>
              <w:rPr>
                <w:rFonts w:ascii="Aptos" w:hAnsi="Aptos"/>
                <w:color w:val="22313F"/>
                <w:sz w:val="15"/>
              </w:rPr>
              <w:t>Pengeluaran per kapita disesuaikan; PDRB atas dasar harga konstan</w:t>
            </w:r>
          </w:p>
        </w:tc>
        <w:tc>
          <w:tcPr>
            <w:tcW w:type="dxa" w:w="3917"/>
            <w:vAlign w:val="center"/>
            <w:tcMar>
              <w:top w:w="45" w:type="dxa"/>
              <w:start w:w="90" w:type="dxa"/>
              <w:bottom w:w="45" w:type="dxa"/>
              <w:end w:w="90" w:type="dxa"/>
            </w:tcMar>
          </w:tcPr>
          <w:p>
            <w:pPr>
              <w:spacing w:after="20" w:before="20" w:line="240" w:lineRule="auto"/>
            </w:pPr>
            <w:r>
              <w:rPr>
                <w:rFonts w:ascii="Aptos" w:hAnsi="Aptos"/>
                <w:color w:val="22313F"/>
                <w:sz w:val="15"/>
              </w:rPr>
              <w:t>Pengeluaran per kapita sebagai calon fitur setelah verifikasi; PDRB ditunda sampai satuan dan distribusinya dipahami.</w:t>
            </w:r>
          </w:p>
        </w:tc>
      </w:tr>
      <w:tr>
        <w:trPr>
          <w:cantSplit/>
        </w:trPr>
        <w:tc>
          <w:tcPr>
            <w:tcW w:type="dxa" w:w="1800"/>
            <w:vAlign w:val="center"/>
            <w:tcMar>
              <w:top w:w="45" w:type="dxa"/>
              <w:start w:w="90" w:type="dxa"/>
              <w:bottom w:w="45" w:type="dxa"/>
              <w:end w:w="90" w:type="dxa"/>
            </w:tcMar>
            <w:shd w:fill="F4F7F9"/>
          </w:tcPr>
          <w:p>
            <w:pPr>
              <w:spacing w:after="20" w:before="20" w:line="240" w:lineRule="auto"/>
            </w:pPr>
            <w:r>
              <w:rPr>
                <w:rFonts w:ascii="Aptos" w:hAnsi="Aptos"/>
                <w:color w:val="22313F"/>
                <w:sz w:val="15"/>
              </w:rPr>
              <w:t>Kesehatan</w:t>
            </w:r>
          </w:p>
        </w:tc>
        <w:tc>
          <w:tcPr>
            <w:tcW w:type="dxa" w:w="3816"/>
            <w:vAlign w:val="center"/>
            <w:tcMar>
              <w:top w:w="45" w:type="dxa"/>
              <w:start w:w="90" w:type="dxa"/>
              <w:bottom w:w="45" w:type="dxa"/>
              <w:end w:w="90" w:type="dxa"/>
            </w:tcMar>
            <w:shd w:fill="F4F7F9"/>
          </w:tcPr>
          <w:p>
            <w:pPr>
              <w:spacing w:after="20" w:before="20" w:line="240" w:lineRule="auto"/>
            </w:pPr>
            <w:r>
              <w:rPr>
                <w:rFonts w:ascii="Aptos" w:hAnsi="Aptos"/>
                <w:color w:val="22313F"/>
                <w:sz w:val="15"/>
              </w:rPr>
              <w:t>Indeks Pembangunan Manusia (IPM); umur harapan hidup</w:t>
            </w:r>
          </w:p>
        </w:tc>
        <w:tc>
          <w:tcPr>
            <w:tcW w:type="dxa" w:w="3917"/>
            <w:vAlign w:val="center"/>
            <w:tcMar>
              <w:top w:w="45" w:type="dxa"/>
              <w:start w:w="90" w:type="dxa"/>
              <w:bottom w:w="45" w:type="dxa"/>
              <w:end w:w="90" w:type="dxa"/>
            </w:tcMar>
            <w:shd w:fill="F4F7F9"/>
          </w:tcPr>
          <w:p>
            <w:pPr>
              <w:spacing w:after="20" w:before="20" w:line="240" w:lineRule="auto"/>
            </w:pPr>
            <w:r>
              <w:rPr>
                <w:rFonts w:ascii="Aptos" w:hAnsi="Aptos"/>
                <w:color w:val="22313F"/>
                <w:sz w:val="15"/>
              </w:rPr>
              <w:t>UHH dapat menjadi calon fitur; IPM dipakai sebagai indikator konteks atau diuji sensitivitasnya karena tumpang tindih dimensi.</w:t>
            </w:r>
          </w:p>
        </w:tc>
      </w:tr>
      <w:tr>
        <w:trPr>
          <w:cantSplit/>
        </w:trPr>
        <w:tc>
          <w:tcPr>
            <w:tcW w:type="dxa" w:w="1800"/>
            <w:vAlign w:val="center"/>
            <w:tcMar>
              <w:top w:w="45" w:type="dxa"/>
              <w:start w:w="90" w:type="dxa"/>
              <w:bottom w:w="45" w:type="dxa"/>
              <w:end w:w="90" w:type="dxa"/>
            </w:tcMar>
          </w:tcPr>
          <w:p>
            <w:pPr>
              <w:spacing w:after="20" w:before="20" w:line="240" w:lineRule="auto"/>
            </w:pPr>
            <w:r>
              <w:rPr>
                <w:rFonts w:ascii="Aptos" w:hAnsi="Aptos"/>
                <w:color w:val="22313F"/>
                <w:sz w:val="15"/>
              </w:rPr>
              <w:t>Layanan dasar</w:t>
            </w:r>
          </w:p>
        </w:tc>
        <w:tc>
          <w:tcPr>
            <w:tcW w:type="dxa" w:w="3816"/>
            <w:vAlign w:val="center"/>
            <w:tcMar>
              <w:top w:w="45" w:type="dxa"/>
              <w:start w:w="90" w:type="dxa"/>
              <w:bottom w:w="45" w:type="dxa"/>
              <w:end w:w="90" w:type="dxa"/>
            </w:tcMar>
          </w:tcPr>
          <w:p>
            <w:pPr>
              <w:spacing w:after="20" w:before="20" w:line="240" w:lineRule="auto"/>
            </w:pPr>
            <w:r>
              <w:rPr>
                <w:rFonts w:ascii="Aptos" w:hAnsi="Aptos"/>
                <w:color w:val="22313F"/>
                <w:sz w:val="15"/>
              </w:rPr>
              <w:t>Akses sanitasi layak; akses air minum layak</w:t>
            </w:r>
          </w:p>
        </w:tc>
        <w:tc>
          <w:tcPr>
            <w:tcW w:type="dxa" w:w="3917"/>
            <w:vAlign w:val="center"/>
            <w:tcMar>
              <w:top w:w="45" w:type="dxa"/>
              <w:start w:w="90" w:type="dxa"/>
              <w:bottom w:w="45" w:type="dxa"/>
              <w:end w:w="90" w:type="dxa"/>
            </w:tcMar>
          </w:tcPr>
          <w:p>
            <w:pPr>
              <w:spacing w:after="20" w:before="20" w:line="240" w:lineRule="auto"/>
            </w:pPr>
            <w:r>
              <w:rPr>
                <w:rFonts w:ascii="Aptos" w:hAnsi="Aptos"/>
                <w:color w:val="22313F"/>
                <w:sz w:val="15"/>
              </w:rPr>
              <w:t>Calon fitur setelah nilai ekstrem/nol diverifikasi.</w:t>
            </w:r>
          </w:p>
        </w:tc>
      </w:tr>
      <w:tr>
        <w:trPr>
          <w:cantSplit/>
        </w:trPr>
        <w:tc>
          <w:tcPr>
            <w:tcW w:type="dxa" w:w="1800"/>
            <w:vAlign w:val="center"/>
            <w:tcMar>
              <w:top w:w="45" w:type="dxa"/>
              <w:start w:w="90" w:type="dxa"/>
              <w:bottom w:w="45" w:type="dxa"/>
              <w:end w:w="90" w:type="dxa"/>
            </w:tcMar>
            <w:shd w:fill="F4F7F9"/>
          </w:tcPr>
          <w:p>
            <w:pPr>
              <w:spacing w:after="20" w:before="20" w:line="240" w:lineRule="auto"/>
            </w:pPr>
            <w:r>
              <w:rPr>
                <w:rFonts w:ascii="Aptos" w:hAnsi="Aptos"/>
                <w:color w:val="22313F"/>
                <w:sz w:val="15"/>
              </w:rPr>
              <w:t>Ketenagakerjaan</w:t>
            </w:r>
          </w:p>
        </w:tc>
        <w:tc>
          <w:tcPr>
            <w:tcW w:type="dxa" w:w="3816"/>
            <w:vAlign w:val="center"/>
            <w:tcMar>
              <w:top w:w="45" w:type="dxa"/>
              <w:start w:w="90" w:type="dxa"/>
              <w:bottom w:w="45" w:type="dxa"/>
              <w:end w:w="90" w:type="dxa"/>
            </w:tcMar>
            <w:shd w:fill="F4F7F9"/>
          </w:tcPr>
          <w:p>
            <w:pPr>
              <w:spacing w:after="20" w:before="20" w:line="240" w:lineRule="auto"/>
            </w:pPr>
            <w:r>
              <w:rPr>
                <w:rFonts w:ascii="Aptos" w:hAnsi="Aptos"/>
                <w:color w:val="22313F"/>
                <w:sz w:val="15"/>
              </w:rPr>
              <w:t>Tingkat Pengangguran Terbuka (TPT); Tingkat Partisipasi Angkatan Kerja (TPAK)</w:t>
            </w:r>
          </w:p>
        </w:tc>
        <w:tc>
          <w:tcPr>
            <w:tcW w:type="dxa" w:w="3917"/>
            <w:vAlign w:val="center"/>
            <w:tcMar>
              <w:top w:w="45" w:type="dxa"/>
              <w:start w:w="90" w:type="dxa"/>
              <w:bottom w:w="45" w:type="dxa"/>
              <w:end w:w="90" w:type="dxa"/>
            </w:tcMar>
            <w:shd w:fill="F4F7F9"/>
          </w:tcPr>
          <w:p>
            <w:pPr>
              <w:spacing w:after="20" w:before="20" w:line="240" w:lineRule="auto"/>
            </w:pPr>
            <w:r>
              <w:rPr>
                <w:rFonts w:ascii="Aptos" w:hAnsi="Aptos"/>
                <w:color w:val="22313F"/>
                <w:sz w:val="15"/>
              </w:rPr>
              <w:t>TPT dapat menjadi calon fitur; TPAK perlu interpretasi hati-hati dan uji sensitivitas.</w:t>
            </w:r>
          </w:p>
        </w:tc>
      </w:tr>
      <w:tr>
        <w:trPr>
          <w:cantSplit/>
        </w:trPr>
        <w:tc>
          <w:tcPr>
            <w:tcW w:type="dxa" w:w="1800"/>
            <w:vAlign w:val="center"/>
            <w:tcMar>
              <w:top w:w="45" w:type="dxa"/>
              <w:start w:w="90" w:type="dxa"/>
              <w:bottom w:w="45" w:type="dxa"/>
              <w:end w:w="90" w:type="dxa"/>
            </w:tcMar>
          </w:tcPr>
          <w:p>
            <w:pPr>
              <w:spacing w:after="20" w:before="20" w:line="240" w:lineRule="auto"/>
            </w:pPr>
            <w:r>
              <w:rPr>
                <w:rFonts w:ascii="Aptos" w:hAnsi="Aptos"/>
                <w:color w:val="22313F"/>
                <w:sz w:val="15"/>
              </w:rPr>
              <w:t>Label</w:t>
            </w:r>
          </w:p>
        </w:tc>
        <w:tc>
          <w:tcPr>
            <w:tcW w:type="dxa" w:w="3816"/>
            <w:vAlign w:val="center"/>
            <w:tcMar>
              <w:top w:w="45" w:type="dxa"/>
              <w:start w:w="90" w:type="dxa"/>
              <w:bottom w:w="45" w:type="dxa"/>
              <w:end w:w="90" w:type="dxa"/>
            </w:tcMar>
          </w:tcPr>
          <w:p>
            <w:pPr>
              <w:spacing w:after="20" w:before="20" w:line="240" w:lineRule="auto"/>
            </w:pPr>
            <w:r>
              <w:rPr>
                <w:rFonts w:ascii="Aptos" w:hAnsi="Aptos"/>
                <w:color w:val="22313F"/>
                <w:sz w:val="15"/>
              </w:rPr>
              <w:t>Klasifikasi Kemiskinan (0/1)</w:t>
            </w:r>
          </w:p>
        </w:tc>
        <w:tc>
          <w:tcPr>
            <w:tcW w:type="dxa" w:w="3917"/>
            <w:vAlign w:val="center"/>
            <w:tcMar>
              <w:top w:w="45" w:type="dxa"/>
              <w:start w:w="90" w:type="dxa"/>
              <w:bottom w:w="45" w:type="dxa"/>
              <w:end w:w="90" w:type="dxa"/>
            </w:tcMar>
          </w:tcPr>
          <w:p>
            <w:pPr>
              <w:spacing w:after="20" w:before="20" w:line="240" w:lineRule="auto"/>
            </w:pPr>
            <w:r>
              <w:rPr>
                <w:rFonts w:ascii="Aptos" w:hAnsi="Aptos"/>
                <w:color w:val="22313F"/>
                <w:sz w:val="15"/>
              </w:rPr>
              <w:t>Dikecualikan dari fitur dan target utama sampai sumber serta aturan label terverifikasi.</w:t>
            </w:r>
          </w:p>
        </w:tc>
      </w:tr>
    </w:tbl>
    <w:p>
      <w:pPr>
        <w:spacing w:after="0"/>
      </w:pPr>
    </w:p>
    <w:p>
      <w:r>
        <w:br w:type="page"/>
      </w:r>
    </w:p>
    <w:p>
      <w:pPr>
        <w:pStyle w:val="Heading1"/>
      </w:pPr>
      <w:r>
        <w:t>3. Objektif Proyek</w:t>
      </w:r>
    </w:p>
    <w:p>
      <w:pPr>
        <w:pStyle w:val="Heading2"/>
      </w:pPr>
      <w:r>
        <w:t>Objektif umum</w:t>
      </w:r>
    </w:p>
    <w:p>
      <w:r>
        <w:t>Mengembangkan PovertyRadar SDGs sebagai explanatory dashboard interaktif yang menyampaikan temuan tentang persebaran P0, perbedaan profil sosial-ekonomi antardaerah, dan indikasi kerentanan relatif secara terstruktur serta transparan untuk membantu pengguna memahami variasi wilayah dan menentukan fokus analisis lanjutan, dengan fokus tematik utama pada SDG 1 — Tanpa Kemiskinan.</w:t>
      </w:r>
    </w:p>
    <w:p>
      <w:pPr>
        <w:pStyle w:val="Heading2"/>
      </w:pPr>
      <w:r>
        <w:t>Objektif khusus</w:t>
      </w:r>
    </w:p>
    <w:p>
      <w:pPr>
        <w:pStyle w:val="ListNumber"/>
        <w:spacing w:after="40"/>
        <w:ind w:left="374" w:hanging="230"/>
      </w:pPr>
      <w:r>
        <w:t>Mendeskripsikan distribusi P0 dan indikator sosial-ekonomi yang tersedia pada wilayah dalam dataset.</w:t>
      </w:r>
    </w:p>
    <w:p>
      <w:pPr>
        <w:pStyle w:val="ListNumber"/>
        <w:spacing w:after="40"/>
        <w:ind w:left="374" w:hanging="230"/>
      </w:pPr>
      <w:r>
        <w:t>Mengeksplorasi hubungan statistik antara P0 dan indikator terpilih tanpa membuat klaim sebab-akibat.</w:t>
      </w:r>
    </w:p>
    <w:p>
      <w:pPr>
        <w:pStyle w:val="ListNumber"/>
        <w:spacing w:after="40"/>
        <w:ind w:left="374" w:hanging="230"/>
      </w:pPr>
      <w:r>
        <w:t>Membentuk dan mengevaluasi cluster berdasarkan kemiripan profil sosial-ekonomi, dengan fitur dan preprocessing yang terdokumentasi.</w:t>
      </w:r>
    </w:p>
    <w:p>
      <w:pPr>
        <w:pStyle w:val="ListNumber"/>
        <w:spacing w:after="40"/>
        <w:ind w:left="374" w:hanging="230"/>
      </w:pPr>
      <w:r>
        <w:t>Menjelaskan karakteristik pembeda tiap cluster serta membandingkan distribusi P0 antarkelompok.</w:t>
      </w:r>
    </w:p>
    <w:p>
      <w:pPr>
        <w:pStyle w:val="ListNumber"/>
        <w:spacing w:after="40"/>
        <w:ind w:left="374" w:hanging="230"/>
      </w:pPr>
      <w:r>
        <w:t>Menyusun skrining relatif yang transparan untuk menandai kombinasi P0 tinggi dan indikator struktural yang relatif tertinggal.</w:t>
      </w:r>
    </w:p>
    <w:p>
      <w:pPr>
        <w:pStyle w:val="ListNumber"/>
        <w:spacing w:after="40"/>
        <w:ind w:left="374" w:hanging="230"/>
      </w:pPr>
      <w:r>
        <w:t>Menyajikan temuan melalui dashboard interaktif dengan peta, filter, profil cluster, detail wilayah, dan catatan kualitas data/metode.</w:t>
      </w:r>
    </w:p>
    <w:p>
      <w:pPr>
        <w:pStyle w:val="Heading1"/>
      </w:pPr>
      <w:r>
        <w:t>4. Ruang Lingkup</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4680"/>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Termasuk dalam lingkup proyek</w:t>
            </w:r>
          </w:p>
        </w:tc>
        <w:tc>
          <w:tcPr>
            <w:tcW w:type="dxa" w:w="4853"/>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Di luar klaim proyek</w:t>
            </w:r>
          </w:p>
        </w:tc>
      </w:tr>
      <w:tr>
        <w:trPr>
          <w:cantSplit/>
        </w:trPr>
        <w:tc>
          <w:tcPr>
            <w:tcW w:type="dxa" w:w="4680"/>
            <w:vAlign w:val="center"/>
            <w:tcMar>
              <w:top w:w="45" w:type="dxa"/>
              <w:start w:w="90" w:type="dxa"/>
              <w:bottom w:w="45" w:type="dxa"/>
              <w:end w:w="90" w:type="dxa"/>
            </w:tcMar>
          </w:tcPr>
          <w:p>
            <w:pPr>
              <w:spacing w:after="20" w:before="20" w:line="240" w:lineRule="auto"/>
            </w:pPr>
            <w:r>
              <w:rPr>
                <w:rFonts w:ascii="Aptos" w:hAnsi="Aptos"/>
                <w:color w:val="22313F"/>
                <w:sz w:val="16"/>
              </w:rPr>
              <w:t>Pemetaan P0 dan indikator sosial-ekonomi yang tersedia.</w:t>
            </w:r>
          </w:p>
        </w:tc>
        <w:tc>
          <w:tcPr>
            <w:tcW w:type="dxa" w:w="4853"/>
            <w:vAlign w:val="center"/>
            <w:tcMar>
              <w:top w:w="45" w:type="dxa"/>
              <w:start w:w="90" w:type="dxa"/>
              <w:bottom w:w="45" w:type="dxa"/>
              <w:end w:w="90" w:type="dxa"/>
            </w:tcMar>
          </w:tcPr>
          <w:p>
            <w:pPr>
              <w:spacing w:after="20" w:before="20" w:line="240" w:lineRule="auto"/>
            </w:pPr>
            <w:r>
              <w:rPr>
                <w:rFonts w:ascii="Aptos" w:hAnsi="Aptos"/>
                <w:color w:val="22313F"/>
                <w:sz w:val="16"/>
              </w:rPr>
              <w:t>Tren tahunan atau perubahan dari waktu ke waktu tanpa data multi-tahun.</w:t>
            </w:r>
          </w:p>
        </w:tc>
      </w:tr>
      <w:tr>
        <w:trPr>
          <w:cantSplit/>
        </w:trPr>
        <w:tc>
          <w:tcPr>
            <w:tcW w:type="dxa" w:w="4680"/>
            <w:vAlign w:val="center"/>
            <w:tcMar>
              <w:top w:w="45" w:type="dxa"/>
              <w:start w:w="90" w:type="dxa"/>
              <w:bottom w:w="45" w:type="dxa"/>
              <w:end w:w="90" w:type="dxa"/>
            </w:tcMar>
            <w:shd w:fill="F4F7F9"/>
          </w:tcPr>
          <w:p>
            <w:pPr>
              <w:spacing w:after="20" w:before="20" w:line="240" w:lineRule="auto"/>
            </w:pPr>
            <w:r>
              <w:rPr>
                <w:rFonts w:ascii="Aptos" w:hAnsi="Aptos"/>
                <w:color w:val="22313F"/>
                <w:sz w:val="16"/>
              </w:rPr>
              <w:t>EDA, statistik ringkas, korelasi eksploratif, dan clustering.</w:t>
            </w:r>
          </w:p>
        </w:tc>
        <w:tc>
          <w:tcPr>
            <w:tcW w:type="dxa" w:w="4853"/>
            <w:vAlign w:val="center"/>
            <w:tcMar>
              <w:top w:w="45" w:type="dxa"/>
              <w:start w:w="90" w:type="dxa"/>
              <w:bottom w:w="45" w:type="dxa"/>
              <w:end w:w="90" w:type="dxa"/>
            </w:tcMar>
            <w:shd w:fill="F4F7F9"/>
          </w:tcPr>
          <w:p>
            <w:pPr>
              <w:spacing w:after="20" w:before="20" w:line="240" w:lineRule="auto"/>
            </w:pPr>
            <w:r>
              <w:rPr>
                <w:rFonts w:ascii="Aptos" w:hAnsi="Aptos"/>
                <w:color w:val="22313F"/>
                <w:sz w:val="16"/>
              </w:rPr>
              <w:t>Klaim sebab-akibat atau klaim bahwa indikator tertentu menyebabkan kemiskinan.</w:t>
            </w:r>
          </w:p>
        </w:tc>
      </w:tr>
      <w:tr>
        <w:trPr>
          <w:cantSplit/>
        </w:trPr>
        <w:tc>
          <w:tcPr>
            <w:tcW w:type="dxa" w:w="4680"/>
            <w:vAlign w:val="center"/>
            <w:tcMar>
              <w:top w:w="45" w:type="dxa"/>
              <w:start w:w="90" w:type="dxa"/>
              <w:bottom w:w="45" w:type="dxa"/>
              <w:end w:w="90" w:type="dxa"/>
            </w:tcMar>
          </w:tcPr>
          <w:p>
            <w:pPr>
              <w:spacing w:after="20" w:before="20" w:line="240" w:lineRule="auto"/>
            </w:pPr>
            <w:r>
              <w:rPr>
                <w:rFonts w:ascii="Aptos" w:hAnsi="Aptos"/>
                <w:color w:val="22313F"/>
                <w:sz w:val="16"/>
              </w:rPr>
              <w:t>Skrining relatif berdasarkan P0 dan indikator terpilih, dengan kriteria terbuka.</w:t>
            </w:r>
          </w:p>
        </w:tc>
        <w:tc>
          <w:tcPr>
            <w:tcW w:type="dxa" w:w="4853"/>
            <w:vAlign w:val="center"/>
            <w:tcMar>
              <w:top w:w="45" w:type="dxa"/>
              <w:start w:w="90" w:type="dxa"/>
              <w:bottom w:w="45" w:type="dxa"/>
              <w:end w:w="90" w:type="dxa"/>
            </w:tcMar>
          </w:tcPr>
          <w:p>
            <w:pPr>
              <w:spacing w:after="20" w:before="20" w:line="240" w:lineRule="auto"/>
            </w:pPr>
            <w:r>
              <w:rPr>
                <w:rFonts w:ascii="Aptos" w:hAnsi="Aptos"/>
                <w:color w:val="22313F"/>
                <w:sz w:val="16"/>
              </w:rPr>
              <w:t>Probabilitas kemiskinan masa depan atau skor risiko prediktif yang belum tervalidasi.</w:t>
            </w:r>
          </w:p>
        </w:tc>
      </w:tr>
      <w:tr>
        <w:trPr>
          <w:cantSplit/>
        </w:trPr>
        <w:tc>
          <w:tcPr>
            <w:tcW w:type="dxa" w:w="4680"/>
            <w:vAlign w:val="center"/>
            <w:tcMar>
              <w:top w:w="45" w:type="dxa"/>
              <w:start w:w="90" w:type="dxa"/>
              <w:bottom w:w="45" w:type="dxa"/>
              <w:end w:w="90" w:type="dxa"/>
            </w:tcMar>
            <w:shd w:fill="F4F7F9"/>
          </w:tcPr>
          <w:p>
            <w:pPr>
              <w:spacing w:after="20" w:before="20" w:line="240" w:lineRule="auto"/>
            </w:pPr>
            <w:r>
              <w:rPr>
                <w:rFonts w:ascii="Aptos" w:hAnsi="Aptos"/>
                <w:color w:val="22313F"/>
                <w:sz w:val="16"/>
              </w:rPr>
              <w:t>Explanatory dashboard dengan interaksi terarah untuk memahami dan membandingkan wilayah.</w:t>
            </w:r>
          </w:p>
        </w:tc>
        <w:tc>
          <w:tcPr>
            <w:tcW w:type="dxa" w:w="4853"/>
            <w:vAlign w:val="center"/>
            <w:tcMar>
              <w:top w:w="45" w:type="dxa"/>
              <w:start w:w="90" w:type="dxa"/>
              <w:bottom w:w="45" w:type="dxa"/>
              <w:end w:w="90" w:type="dxa"/>
            </w:tcMar>
            <w:shd w:fill="F4F7F9"/>
          </w:tcPr>
          <w:p>
            <w:pPr>
              <w:spacing w:after="20" w:before="20" w:line="240" w:lineRule="auto"/>
            </w:pPr>
            <w:r>
              <w:rPr>
                <w:rFonts w:ascii="Aptos" w:hAnsi="Aptos"/>
                <w:color w:val="22313F"/>
                <w:sz w:val="16"/>
              </w:rPr>
              <w:t>Keputusan kebijakan otomatis atau rekomendasi alokasi anggaran final.</w:t>
            </w:r>
          </w:p>
        </w:tc>
      </w:tr>
      <w:tr>
        <w:trPr>
          <w:cantSplit/>
        </w:trPr>
        <w:tc>
          <w:tcPr>
            <w:tcW w:type="dxa" w:w="4680"/>
            <w:vAlign w:val="center"/>
            <w:tcMar>
              <w:top w:w="45" w:type="dxa"/>
              <w:start w:w="90" w:type="dxa"/>
              <w:bottom w:w="45" w:type="dxa"/>
              <w:end w:w="90" w:type="dxa"/>
            </w:tcMar>
          </w:tcPr>
          <w:p>
            <w:pPr>
              <w:spacing w:after="20" w:before="20" w:line="240" w:lineRule="auto"/>
            </w:pPr>
            <w:r>
              <w:rPr>
                <w:rFonts w:ascii="Aptos" w:hAnsi="Aptos"/>
                <w:color w:val="22313F"/>
                <w:sz w:val="16"/>
              </w:rPr>
              <w:t>Keterkaitan tematik dengan SDG 1 dan indikator pendukung yang relevan.</w:t>
            </w:r>
          </w:p>
        </w:tc>
        <w:tc>
          <w:tcPr>
            <w:tcW w:type="dxa" w:w="4853"/>
            <w:vAlign w:val="center"/>
            <w:tcMar>
              <w:top w:w="45" w:type="dxa"/>
              <w:start w:w="90" w:type="dxa"/>
              <w:bottom w:w="45" w:type="dxa"/>
              <w:end w:w="90" w:type="dxa"/>
            </w:tcMar>
          </w:tcPr>
          <w:p>
            <w:pPr>
              <w:spacing w:after="20" w:before="20" w:line="240" w:lineRule="auto"/>
            </w:pPr>
            <w:r>
              <w:rPr>
                <w:rFonts w:ascii="Aptos" w:hAnsi="Aptos"/>
                <w:color w:val="22313F"/>
                <w:sz w:val="16"/>
              </w:rPr>
              <w:t>Klaim bahwa seluruh target/indikator resmi SDGs telah diukur.</w:t>
            </w:r>
          </w:p>
        </w:tc>
      </w:tr>
    </w:tbl>
    <w:p>
      <w:pPr>
        <w:spacing w:after="0"/>
      </w:pPr>
    </w:p>
    <w:p>
      <w:pPr>
        <w:pStyle w:val="Heading2"/>
      </w:pPr>
      <w:r>
        <w:t>Definisi operasional “risiko”</w:t>
      </w:r>
    </w:p>
    <w:p>
      <w:r>
        <w:t>Dalam proyek ini, “analisis risiko” dioperasionalkan sebagai skrining kerentanan relatif yang terlihat pada data yang tersedia. P0 menggambarkan tingkat kemiskinan yang tercatat, sedangkan indikator struktural membantu memberikan konteks. Skrining bukan probabilitas kejadian masa depan, bukan bukti kausalitas, dan bukan keputusan kebijakan otomatis.</w:t>
      </w:r>
    </w:p>
    <w:p>
      <w:r>
        <w:br w:type="page"/>
      </w:r>
    </w:p>
    <w:p>
      <w:pPr>
        <w:pStyle w:val="Heading1"/>
      </w:pPr>
      <w:r>
        <w:t>5. Rancangan Metode</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1584"/>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Tahap</w:t>
            </w:r>
          </w:p>
        </w:tc>
        <w:tc>
          <w:tcPr>
            <w:tcW w:type="dxa" w:w="4896"/>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Aktivitas utama</w:t>
            </w:r>
          </w:p>
        </w:tc>
        <w:tc>
          <w:tcPr>
            <w:tcW w:type="dxa" w:w="3053"/>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Keputusan/luaran</w:t>
            </w:r>
          </w:p>
        </w:tc>
      </w:tr>
      <w:tr>
        <w:trPr>
          <w:cantSplit/>
        </w:trPr>
        <w:tc>
          <w:tcPr>
            <w:tcW w:type="dxa" w:w="1584"/>
            <w:vAlign w:val="center"/>
            <w:tcMar>
              <w:top w:w="45" w:type="dxa"/>
              <w:start w:w="90" w:type="dxa"/>
              <w:bottom w:w="45" w:type="dxa"/>
              <w:end w:w="90" w:type="dxa"/>
            </w:tcMar>
          </w:tcPr>
          <w:p>
            <w:pPr>
              <w:spacing w:after="20" w:before="20" w:line="240" w:lineRule="auto"/>
            </w:pPr>
            <w:r>
              <w:rPr>
                <w:rFonts w:ascii="Aptos" w:hAnsi="Aptos"/>
                <w:color w:val="22313F"/>
                <w:sz w:val="16"/>
              </w:rPr>
              <w:t>1. Validasi sumber</w:t>
            </w:r>
          </w:p>
        </w:tc>
        <w:tc>
          <w:tcPr>
            <w:tcW w:type="dxa" w:w="4896"/>
            <w:vAlign w:val="center"/>
            <w:tcMar>
              <w:top w:w="45" w:type="dxa"/>
              <w:start w:w="90" w:type="dxa"/>
              <w:bottom w:w="45" w:type="dxa"/>
              <w:end w:w="90" w:type="dxa"/>
            </w:tcMar>
          </w:tcPr>
          <w:p>
            <w:pPr>
              <w:spacing w:after="20" w:before="20" w:line="240" w:lineRule="auto"/>
            </w:pPr>
            <w:r>
              <w:rPr>
                <w:rFonts w:ascii="Aptos" w:hAnsi="Aptos"/>
                <w:color w:val="22313F"/>
                <w:sz w:val="16"/>
              </w:rPr>
              <w:t>Telusuri tahun, asal indikator, satuan, arti nilai nol, definisi label, dan versi batas administrasi.</w:t>
            </w:r>
          </w:p>
        </w:tc>
        <w:tc>
          <w:tcPr>
            <w:tcW w:type="dxa" w:w="3053"/>
            <w:vAlign w:val="center"/>
            <w:tcMar>
              <w:top w:w="45" w:type="dxa"/>
              <w:start w:w="90" w:type="dxa"/>
              <w:bottom w:w="45" w:type="dxa"/>
              <w:end w:w="90" w:type="dxa"/>
            </w:tcMar>
          </w:tcPr>
          <w:p>
            <w:pPr>
              <w:spacing w:after="20" w:before="20" w:line="240" w:lineRule="auto"/>
            </w:pPr>
            <w:r>
              <w:rPr>
                <w:rFonts w:ascii="Aptos" w:hAnsi="Aptos"/>
                <w:color w:val="22313F"/>
                <w:sz w:val="16"/>
              </w:rPr>
              <w:t>Catatan kualitas dan daftar variabel yang layak digunakan.</w:t>
            </w:r>
          </w:p>
        </w:tc>
      </w:tr>
      <w:tr>
        <w:trPr>
          <w:cantSplit/>
        </w:trPr>
        <w:tc>
          <w:tcPr>
            <w:tcW w:type="dxa" w:w="1584"/>
            <w:vAlign w:val="center"/>
            <w:tcMar>
              <w:top w:w="45" w:type="dxa"/>
              <w:start w:w="90" w:type="dxa"/>
              <w:bottom w:w="45" w:type="dxa"/>
              <w:end w:w="90" w:type="dxa"/>
            </w:tcMar>
            <w:shd w:fill="F4F7F9"/>
          </w:tcPr>
          <w:p>
            <w:pPr>
              <w:spacing w:after="20" w:before="20" w:line="240" w:lineRule="auto"/>
            </w:pPr>
            <w:r>
              <w:rPr>
                <w:rFonts w:ascii="Aptos" w:hAnsi="Aptos"/>
                <w:color w:val="22313F"/>
                <w:sz w:val="16"/>
              </w:rPr>
              <w:t>2. Preprocessing &amp; EDA</w:t>
            </w:r>
          </w:p>
        </w:tc>
        <w:tc>
          <w:tcPr>
            <w:tcW w:type="dxa" w:w="4896"/>
            <w:vAlign w:val="center"/>
            <w:tcMar>
              <w:top w:w="45" w:type="dxa"/>
              <w:start w:w="90" w:type="dxa"/>
              <w:bottom w:w="45" w:type="dxa"/>
              <w:end w:w="90" w:type="dxa"/>
            </w:tcMar>
            <w:shd w:fill="F4F7F9"/>
          </w:tcPr>
          <w:p>
            <w:pPr>
              <w:spacing w:after="20" w:before="20" w:line="240" w:lineRule="auto"/>
            </w:pPr>
            <w:r>
              <w:rPr>
                <w:rFonts w:ascii="Aptos" w:hAnsi="Aptos"/>
                <w:color w:val="22313F"/>
                <w:sz w:val="16"/>
              </w:rPr>
              <w:t>Cek rentang, nilai ekstrem, distribusi, nama wilayah, ringkasan per provinsi, serta asosiasi antarindikator.</w:t>
            </w:r>
          </w:p>
        </w:tc>
        <w:tc>
          <w:tcPr>
            <w:tcW w:type="dxa" w:w="3053"/>
            <w:vAlign w:val="center"/>
            <w:tcMar>
              <w:top w:w="45" w:type="dxa"/>
              <w:start w:w="90" w:type="dxa"/>
              <w:bottom w:w="45" w:type="dxa"/>
              <w:end w:w="90" w:type="dxa"/>
            </w:tcMar>
            <w:shd w:fill="F4F7F9"/>
          </w:tcPr>
          <w:p>
            <w:pPr>
              <w:spacing w:after="20" w:before="20" w:line="240" w:lineRule="auto"/>
            </w:pPr>
            <w:r>
              <w:rPr>
                <w:rFonts w:ascii="Aptos" w:hAnsi="Aptos"/>
                <w:color w:val="22313F"/>
                <w:sz w:val="16"/>
              </w:rPr>
              <w:t>Dataset analisis yang terdokumentasi dan temuan deskriptif.</w:t>
            </w:r>
          </w:p>
        </w:tc>
      </w:tr>
      <w:tr>
        <w:trPr>
          <w:cantSplit/>
        </w:trPr>
        <w:tc>
          <w:tcPr>
            <w:tcW w:type="dxa" w:w="1584"/>
            <w:vAlign w:val="center"/>
            <w:tcMar>
              <w:top w:w="45" w:type="dxa"/>
              <w:start w:w="90" w:type="dxa"/>
              <w:bottom w:w="45" w:type="dxa"/>
              <w:end w:w="90" w:type="dxa"/>
            </w:tcMar>
          </w:tcPr>
          <w:p>
            <w:pPr>
              <w:spacing w:after="20" w:before="20" w:line="240" w:lineRule="auto"/>
            </w:pPr>
            <w:r>
              <w:rPr>
                <w:rFonts w:ascii="Aptos" w:hAnsi="Aptos"/>
                <w:color w:val="22313F"/>
                <w:sz w:val="16"/>
              </w:rPr>
              <w:t>3. Pemetaan</w:t>
            </w:r>
          </w:p>
        </w:tc>
        <w:tc>
          <w:tcPr>
            <w:tcW w:type="dxa" w:w="4896"/>
            <w:vAlign w:val="center"/>
            <w:tcMar>
              <w:top w:w="45" w:type="dxa"/>
              <w:start w:w="90" w:type="dxa"/>
              <w:bottom w:w="45" w:type="dxa"/>
              <w:end w:w="90" w:type="dxa"/>
            </w:tcMar>
          </w:tcPr>
          <w:p>
            <w:pPr>
              <w:spacing w:after="20" w:before="20" w:line="240" w:lineRule="auto"/>
            </w:pPr>
            <w:r>
              <w:rPr>
                <w:rFonts w:ascii="Aptos" w:hAnsi="Aptos"/>
                <w:color w:val="22313F"/>
                <w:sz w:val="16"/>
              </w:rPr>
              <w:t>Gabungkan data ke layer geospasial yang sesuai dan catat wilayah yang gagal dicocokkan.</w:t>
            </w:r>
          </w:p>
        </w:tc>
        <w:tc>
          <w:tcPr>
            <w:tcW w:type="dxa" w:w="3053"/>
            <w:vAlign w:val="center"/>
            <w:tcMar>
              <w:top w:w="45" w:type="dxa"/>
              <w:start w:w="90" w:type="dxa"/>
              <w:bottom w:w="45" w:type="dxa"/>
              <w:end w:w="90" w:type="dxa"/>
            </w:tcMar>
          </w:tcPr>
          <w:p>
            <w:pPr>
              <w:spacing w:after="20" w:before="20" w:line="240" w:lineRule="auto"/>
            </w:pPr>
            <w:r>
              <w:rPr>
                <w:rFonts w:ascii="Aptos" w:hAnsi="Aptos"/>
                <w:color w:val="22313F"/>
                <w:sz w:val="16"/>
              </w:rPr>
              <w:t>Peta P0/indikator dengan catatan cakupan.</w:t>
            </w:r>
          </w:p>
        </w:tc>
      </w:tr>
      <w:tr>
        <w:trPr>
          <w:cantSplit/>
        </w:trPr>
        <w:tc>
          <w:tcPr>
            <w:tcW w:type="dxa" w:w="1584"/>
            <w:vAlign w:val="center"/>
            <w:tcMar>
              <w:top w:w="45" w:type="dxa"/>
              <w:start w:w="90" w:type="dxa"/>
              <w:bottom w:w="45" w:type="dxa"/>
              <w:end w:w="90" w:type="dxa"/>
            </w:tcMar>
            <w:shd w:fill="F4F7F9"/>
          </w:tcPr>
          <w:p>
            <w:pPr>
              <w:spacing w:after="20" w:before="20" w:line="240" w:lineRule="auto"/>
            </w:pPr>
            <w:r>
              <w:rPr>
                <w:rFonts w:ascii="Aptos" w:hAnsi="Aptos"/>
                <w:color w:val="22313F"/>
                <w:sz w:val="16"/>
              </w:rPr>
              <w:t>4. Clustering</w:t>
            </w:r>
          </w:p>
        </w:tc>
        <w:tc>
          <w:tcPr>
            <w:tcW w:type="dxa" w:w="4896"/>
            <w:vAlign w:val="center"/>
            <w:tcMar>
              <w:top w:w="45" w:type="dxa"/>
              <w:start w:w="90" w:type="dxa"/>
              <w:bottom w:w="45" w:type="dxa"/>
              <w:end w:w="90" w:type="dxa"/>
            </w:tcMar>
            <w:shd w:fill="F4F7F9"/>
          </w:tcPr>
          <w:p>
            <w:pPr>
              <w:spacing w:after="20" w:before="20" w:line="240" w:lineRule="auto"/>
            </w:pPr>
            <w:r>
              <w:rPr>
                <w:rFonts w:ascii="Aptos" w:hAnsi="Aptos"/>
                <w:color w:val="22313F"/>
                <w:sz w:val="16"/>
              </w:rPr>
              <w:t>Standardisasi fitur numerik terpilih; mulai dari K-Means dan bandingkan kandidat jumlah cluster. Metode alternatif bersifat opsional.</w:t>
            </w:r>
          </w:p>
        </w:tc>
        <w:tc>
          <w:tcPr>
            <w:tcW w:type="dxa" w:w="3053"/>
            <w:vAlign w:val="center"/>
            <w:tcMar>
              <w:top w:w="45" w:type="dxa"/>
              <w:start w:w="90" w:type="dxa"/>
              <w:bottom w:w="45" w:type="dxa"/>
              <w:end w:w="90" w:type="dxa"/>
            </w:tcMar>
            <w:shd w:fill="F4F7F9"/>
          </w:tcPr>
          <w:p>
            <w:pPr>
              <w:spacing w:after="20" w:before="20" w:line="240" w:lineRule="auto"/>
            </w:pPr>
            <w:r>
              <w:rPr>
                <w:rFonts w:ascii="Aptos" w:hAnsi="Aptos"/>
                <w:color w:val="22313F"/>
                <w:sz w:val="16"/>
              </w:rPr>
              <w:t>Label cluster dan profil setiap kelompok.</w:t>
            </w:r>
          </w:p>
        </w:tc>
      </w:tr>
      <w:tr>
        <w:trPr>
          <w:cantSplit/>
        </w:trPr>
        <w:tc>
          <w:tcPr>
            <w:tcW w:type="dxa" w:w="1584"/>
            <w:vAlign w:val="center"/>
            <w:tcMar>
              <w:top w:w="45" w:type="dxa"/>
              <w:start w:w="90" w:type="dxa"/>
              <w:bottom w:w="45" w:type="dxa"/>
              <w:end w:w="90" w:type="dxa"/>
            </w:tcMar>
          </w:tcPr>
          <w:p>
            <w:pPr>
              <w:spacing w:after="20" w:before="20" w:line="240" w:lineRule="auto"/>
            </w:pPr>
            <w:r>
              <w:rPr>
                <w:rFonts w:ascii="Aptos" w:hAnsi="Aptos"/>
                <w:color w:val="22313F"/>
                <w:sz w:val="16"/>
              </w:rPr>
              <w:t>5. Interpretasi &amp; skrining</w:t>
            </w:r>
          </w:p>
        </w:tc>
        <w:tc>
          <w:tcPr>
            <w:tcW w:type="dxa" w:w="4896"/>
            <w:vAlign w:val="center"/>
            <w:tcMar>
              <w:top w:w="45" w:type="dxa"/>
              <w:start w:w="90" w:type="dxa"/>
              <w:bottom w:w="45" w:type="dxa"/>
              <w:end w:w="90" w:type="dxa"/>
            </w:tcMar>
          </w:tcPr>
          <w:p>
            <w:pPr>
              <w:spacing w:after="20" w:before="20" w:line="240" w:lineRule="auto"/>
            </w:pPr>
            <w:r>
              <w:rPr>
                <w:rFonts w:ascii="Aptos" w:hAnsi="Aptos"/>
                <w:color w:val="22313F"/>
                <w:sz w:val="16"/>
              </w:rPr>
              <w:t>Bandingkan P0 pada cluster; tampilkan P0 bersama indikator struktural relatif tertinggal dan dokumentasikan ambang/bobot jika digunakan.</w:t>
            </w:r>
          </w:p>
        </w:tc>
        <w:tc>
          <w:tcPr>
            <w:tcW w:type="dxa" w:w="3053"/>
            <w:vAlign w:val="center"/>
            <w:tcMar>
              <w:top w:w="45" w:type="dxa"/>
              <w:start w:w="90" w:type="dxa"/>
              <w:bottom w:w="45" w:type="dxa"/>
              <w:end w:w="90" w:type="dxa"/>
            </w:tcMar>
          </w:tcPr>
          <w:p>
            <w:pPr>
              <w:spacing w:after="20" w:before="20" w:line="240" w:lineRule="auto"/>
            </w:pPr>
            <w:r>
              <w:rPr>
                <w:rFonts w:ascii="Aptos" w:hAnsi="Aptos"/>
                <w:color w:val="22313F"/>
                <w:sz w:val="16"/>
              </w:rPr>
              <w:t>Matriks prioritas analisis lanjutan dengan alasan yang dapat ditelusuri.</w:t>
            </w:r>
          </w:p>
        </w:tc>
      </w:tr>
      <w:tr>
        <w:trPr>
          <w:cantSplit/>
        </w:trPr>
        <w:tc>
          <w:tcPr>
            <w:tcW w:type="dxa" w:w="1584"/>
            <w:vAlign w:val="center"/>
            <w:tcMar>
              <w:top w:w="45" w:type="dxa"/>
              <w:start w:w="90" w:type="dxa"/>
              <w:bottom w:w="45" w:type="dxa"/>
              <w:end w:w="90" w:type="dxa"/>
            </w:tcMar>
            <w:shd w:fill="F4F7F9"/>
          </w:tcPr>
          <w:p>
            <w:pPr>
              <w:spacing w:after="20" w:before="20" w:line="240" w:lineRule="auto"/>
            </w:pPr>
            <w:r>
              <w:rPr>
                <w:rFonts w:ascii="Aptos" w:hAnsi="Aptos"/>
                <w:color w:val="22313F"/>
                <w:sz w:val="16"/>
              </w:rPr>
              <w:t>6. Dashboard</w:t>
            </w:r>
          </w:p>
        </w:tc>
        <w:tc>
          <w:tcPr>
            <w:tcW w:type="dxa" w:w="4896"/>
            <w:vAlign w:val="center"/>
            <w:tcMar>
              <w:top w:w="45" w:type="dxa"/>
              <w:start w:w="90" w:type="dxa"/>
              <w:bottom w:w="45" w:type="dxa"/>
              <w:end w:w="90" w:type="dxa"/>
            </w:tcMar>
            <w:shd w:fill="F4F7F9"/>
          </w:tcPr>
          <w:p>
            <w:pPr>
              <w:spacing w:after="20" w:before="20" w:line="240" w:lineRule="auto"/>
            </w:pPr>
            <w:r>
              <w:rPr>
                <w:rFonts w:ascii="Aptos" w:hAnsi="Aptos"/>
                <w:color w:val="22313F"/>
                <w:sz w:val="16"/>
              </w:rPr>
              <w:t>Susun alur cerita utama, judul visual berbasis pesan, anotasi temuan, filter, tooltip, dan halaman metode; validasi angka terhadap hasil analisis.</w:t>
            </w:r>
          </w:p>
        </w:tc>
        <w:tc>
          <w:tcPr>
            <w:tcW w:type="dxa" w:w="3053"/>
            <w:vAlign w:val="center"/>
            <w:tcMar>
              <w:top w:w="45" w:type="dxa"/>
              <w:start w:w="90" w:type="dxa"/>
              <w:bottom w:w="45" w:type="dxa"/>
              <w:end w:w="90" w:type="dxa"/>
            </w:tcMar>
            <w:shd w:fill="F4F7F9"/>
          </w:tcPr>
          <w:p>
            <w:pPr>
              <w:spacing w:after="20" w:before="20" w:line="240" w:lineRule="auto"/>
            </w:pPr>
            <w:r>
              <w:rPr>
                <w:rFonts w:ascii="Aptos" w:hAnsi="Aptos"/>
                <w:color w:val="22313F"/>
                <w:sz w:val="16"/>
              </w:rPr>
              <w:t>Explanatory dashboard yang menjelaskan temuan dengan visual pendukung dan interaksi terarah.</w:t>
            </w:r>
          </w:p>
        </w:tc>
      </w:tr>
    </w:tbl>
    <w:p>
      <w:pPr>
        <w:spacing w:after="0"/>
      </w:pPr>
    </w:p>
    <w:p>
      <w:pPr>
        <w:pStyle w:val="Heading2"/>
      </w:pPr>
      <w:r>
        <w:t>Prinsip pemilihan fitur clustering</w:t>
      </w:r>
    </w:p>
    <w:p>
      <w:pPr>
        <w:pStyle w:val="ListBullet"/>
        <w:spacing w:after="40"/>
        <w:ind w:left="317" w:hanging="173"/>
      </w:pPr>
      <w:r>
        <w:t>Baseline kandidat fitur: rata-rata lama sekolah, pengeluaran per kapita disesuaikan, umur harapan hidup, akses sanitasi layak, akses air minum layak, dan TPT—setelah periode, unit, dan nilai yang meragukan diverifikasi.</w:t>
      </w:r>
    </w:p>
    <w:p>
      <w:pPr>
        <w:pStyle w:val="ListBullet"/>
        <w:spacing w:after="40"/>
        <w:ind w:left="317" w:hanging="173"/>
      </w:pPr>
      <w:r>
        <w:t>P0 tidak dipakai untuk membentuk cluster baseline; P0 digunakan sesudahnya untuk membandingkan tingkat kemiskinan antarcluster.</w:t>
      </w:r>
    </w:p>
    <w:p>
      <w:pPr>
        <w:pStyle w:val="ListBullet"/>
        <w:spacing w:after="40"/>
        <w:ind w:left="317" w:hanging="173"/>
      </w:pPr>
      <w:r>
        <w:t>IPM tidak langsung digabungkan dengan seluruh indikator terkait tanpa uji sensitivitas, karena beberapa dimensi pembangunan dapat terhitung berulang.</w:t>
      </w:r>
    </w:p>
    <w:p>
      <w:pPr>
        <w:pStyle w:val="ListBullet"/>
        <w:spacing w:after="40"/>
        <w:ind w:left="317" w:hanging="173"/>
      </w:pPr>
      <w:r>
        <w:t>PDRB agregat ditunda dari baseline sampai unit dan periode terkonfirmasi; skala yang sangat besar dapat mendominasi algoritma berbasis jarak.</w:t>
      </w:r>
    </w:p>
    <w:p>
      <w:pPr>
        <w:pStyle w:val="ListBullet"/>
        <w:spacing w:after="40"/>
        <w:ind w:left="317" w:hanging="173"/>
      </w:pPr>
      <w:r>
        <w:t>Kolom Klasifikasi Kemiskinan dikeluarkan dari fitur dan target utama sampai aturan pembentukannya dapat diverifikasi.</w:t>
      </w:r>
    </w:p>
    <w:p>
      <w:r>
        <w:br w:type="page"/>
      </w:r>
    </w:p>
    <w:p>
      <w:pPr>
        <w:pStyle w:val="Heading1"/>
      </w:pPr>
      <w:r>
        <w:t>6. Evaluasi Keberhasilan</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2232"/>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Aspek</w:t>
            </w:r>
          </w:p>
        </w:tc>
        <w:tc>
          <w:tcPr>
            <w:tcW w:type="dxa" w:w="7301"/>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Ukuran/pertanyaan evaluasi</w:t>
            </w:r>
          </w:p>
        </w:tc>
      </w:tr>
      <w:tr>
        <w:trPr>
          <w:cantSplit/>
        </w:trPr>
        <w:tc>
          <w:tcPr>
            <w:tcW w:type="dxa" w:w="2232"/>
            <w:vAlign w:val="center"/>
            <w:tcMar>
              <w:top w:w="45" w:type="dxa"/>
              <w:start w:w="90" w:type="dxa"/>
              <w:bottom w:w="45" w:type="dxa"/>
              <w:end w:w="90" w:type="dxa"/>
            </w:tcMar>
          </w:tcPr>
          <w:p>
            <w:pPr>
              <w:spacing w:after="20" w:before="20" w:line="240" w:lineRule="auto"/>
            </w:pPr>
            <w:r>
              <w:rPr>
                <w:rFonts w:ascii="Aptos" w:hAnsi="Aptos"/>
                <w:color w:val="22313F"/>
                <w:sz w:val="16"/>
              </w:rPr>
              <w:t>Kualitas data dan peta</w:t>
            </w:r>
          </w:p>
        </w:tc>
        <w:tc>
          <w:tcPr>
            <w:tcW w:type="dxa" w:w="7301"/>
            <w:vAlign w:val="center"/>
            <w:tcMar>
              <w:top w:w="45" w:type="dxa"/>
              <w:start w:w="90" w:type="dxa"/>
              <w:bottom w:w="45" w:type="dxa"/>
              <w:end w:w="90" w:type="dxa"/>
            </w:tcMar>
          </w:tcPr>
          <w:p>
            <w:pPr>
              <w:spacing w:after="20" w:before="20" w:line="240" w:lineRule="auto"/>
            </w:pPr>
            <w:r>
              <w:rPr>
                <w:rFonts w:ascii="Aptos" w:hAnsi="Aptos"/>
                <w:color w:val="22313F"/>
                <w:sz w:val="16"/>
              </w:rPr>
              <w:t>Apakah semua record dapat dilacak? Berapa wilayah cocok/tidak cocok dengan layer peta? Apakah periode, unit, dan sumber ditampilkan?</w:t>
            </w:r>
          </w:p>
        </w:tc>
      </w:tr>
      <w:tr>
        <w:trPr>
          <w:cantSplit/>
        </w:trPr>
        <w:tc>
          <w:tcPr>
            <w:tcW w:type="dxa" w:w="2232"/>
            <w:vAlign w:val="center"/>
            <w:tcMar>
              <w:top w:w="45" w:type="dxa"/>
              <w:start w:w="90" w:type="dxa"/>
              <w:bottom w:w="45" w:type="dxa"/>
              <w:end w:w="90" w:type="dxa"/>
            </w:tcMar>
            <w:shd w:fill="F4F7F9"/>
          </w:tcPr>
          <w:p>
            <w:pPr>
              <w:spacing w:after="20" w:before="20" w:line="240" w:lineRule="auto"/>
            </w:pPr>
            <w:r>
              <w:rPr>
                <w:rFonts w:ascii="Aptos" w:hAnsi="Aptos"/>
                <w:color w:val="22313F"/>
                <w:sz w:val="16"/>
              </w:rPr>
              <w:t>Kualitas clustering</w:t>
            </w:r>
          </w:p>
        </w:tc>
        <w:tc>
          <w:tcPr>
            <w:tcW w:type="dxa" w:w="7301"/>
            <w:vAlign w:val="center"/>
            <w:tcMar>
              <w:top w:w="45" w:type="dxa"/>
              <w:start w:w="90" w:type="dxa"/>
              <w:bottom w:w="45" w:type="dxa"/>
              <w:end w:w="90" w:type="dxa"/>
            </w:tcMar>
            <w:shd w:fill="F4F7F9"/>
          </w:tcPr>
          <w:p>
            <w:pPr>
              <w:spacing w:after="20" w:before="20" w:line="240" w:lineRule="auto"/>
            </w:pPr>
            <w:r>
              <w:rPr>
                <w:rFonts w:ascii="Aptos" w:hAnsi="Aptos"/>
                <w:color w:val="22313F"/>
                <w:sz w:val="16"/>
              </w:rPr>
              <w:t>Silhouette Score, Davies–Bouldin Index, dan Calinski–Harabasz Index sebagai metrik pendukung; bandingkan lebih dari satu kandidat jumlah cluster.</w:t>
            </w:r>
          </w:p>
        </w:tc>
      </w:tr>
      <w:tr>
        <w:trPr>
          <w:cantSplit/>
        </w:trPr>
        <w:tc>
          <w:tcPr>
            <w:tcW w:type="dxa" w:w="2232"/>
            <w:vAlign w:val="center"/>
            <w:tcMar>
              <w:top w:w="45" w:type="dxa"/>
              <w:start w:w="90" w:type="dxa"/>
              <w:bottom w:w="45" w:type="dxa"/>
              <w:end w:w="90" w:type="dxa"/>
            </w:tcMar>
          </w:tcPr>
          <w:p>
            <w:pPr>
              <w:spacing w:after="20" w:before="20" w:line="240" w:lineRule="auto"/>
            </w:pPr>
            <w:r>
              <w:rPr>
                <w:rFonts w:ascii="Aptos" w:hAnsi="Aptos"/>
                <w:color w:val="22313F"/>
                <w:sz w:val="16"/>
              </w:rPr>
              <w:t>Stabilitas dan interpretabilitas</w:t>
            </w:r>
          </w:p>
        </w:tc>
        <w:tc>
          <w:tcPr>
            <w:tcW w:type="dxa" w:w="7301"/>
            <w:vAlign w:val="center"/>
            <w:tcMar>
              <w:top w:w="45" w:type="dxa"/>
              <w:start w:w="90" w:type="dxa"/>
              <w:bottom w:w="45" w:type="dxa"/>
              <w:end w:w="90" w:type="dxa"/>
            </w:tcMar>
          </w:tcPr>
          <w:p>
            <w:pPr>
              <w:spacing w:after="20" w:before="20" w:line="240" w:lineRule="auto"/>
            </w:pPr>
            <w:r>
              <w:rPr>
                <w:rFonts w:ascii="Aptos" w:hAnsi="Aptos"/>
                <w:color w:val="22313F"/>
                <w:sz w:val="16"/>
              </w:rPr>
              <w:t>Apakah hasil relatif konsisten pada inisialisasi/sampel berbeda? Apakah tiap cluster memiliki profil yang jelas dan dapat dijelaskan?</w:t>
            </w:r>
          </w:p>
        </w:tc>
      </w:tr>
      <w:tr>
        <w:trPr>
          <w:cantSplit/>
        </w:trPr>
        <w:tc>
          <w:tcPr>
            <w:tcW w:type="dxa" w:w="2232"/>
            <w:vAlign w:val="center"/>
            <w:tcMar>
              <w:top w:w="45" w:type="dxa"/>
              <w:start w:w="90" w:type="dxa"/>
              <w:bottom w:w="45" w:type="dxa"/>
              <w:end w:w="90" w:type="dxa"/>
            </w:tcMar>
            <w:shd w:fill="F4F7F9"/>
          </w:tcPr>
          <w:p>
            <w:pPr>
              <w:spacing w:after="20" w:before="20" w:line="240" w:lineRule="auto"/>
            </w:pPr>
            <w:r>
              <w:rPr>
                <w:rFonts w:ascii="Aptos" w:hAnsi="Aptos"/>
                <w:color w:val="22313F"/>
                <w:sz w:val="16"/>
              </w:rPr>
              <w:t>Kegunaan analitis</w:t>
            </w:r>
          </w:p>
        </w:tc>
        <w:tc>
          <w:tcPr>
            <w:tcW w:type="dxa" w:w="7301"/>
            <w:vAlign w:val="center"/>
            <w:tcMar>
              <w:top w:w="45" w:type="dxa"/>
              <w:start w:w="90" w:type="dxa"/>
              <w:bottom w:w="45" w:type="dxa"/>
              <w:end w:w="90" w:type="dxa"/>
            </w:tcMar>
            <w:shd w:fill="F4F7F9"/>
          </w:tcPr>
          <w:p>
            <w:pPr>
              <w:spacing w:after="20" w:before="20" w:line="240" w:lineRule="auto"/>
            </w:pPr>
            <w:r>
              <w:rPr>
                <w:rFonts w:ascii="Aptos" w:hAnsi="Aptos"/>
                <w:color w:val="22313F"/>
                <w:sz w:val="16"/>
              </w:rPr>
              <w:t>Apakah profil cluster berbeda secara substantif? Apakah kriteria skrining transparan, konsisten, dan tidak bergantung berlebihan pada pilihan bobot/ambang?</w:t>
            </w:r>
          </w:p>
        </w:tc>
      </w:tr>
      <w:tr>
        <w:trPr>
          <w:cantSplit/>
        </w:trPr>
        <w:tc>
          <w:tcPr>
            <w:tcW w:type="dxa" w:w="2232"/>
            <w:vAlign w:val="center"/>
            <w:tcMar>
              <w:top w:w="45" w:type="dxa"/>
              <w:start w:w="90" w:type="dxa"/>
              <w:bottom w:w="45" w:type="dxa"/>
              <w:end w:w="90" w:type="dxa"/>
            </w:tcMar>
          </w:tcPr>
          <w:p>
            <w:pPr>
              <w:spacing w:after="20" w:before="20" w:line="240" w:lineRule="auto"/>
            </w:pPr>
            <w:r>
              <w:rPr>
                <w:rFonts w:ascii="Aptos" w:hAnsi="Aptos"/>
                <w:color w:val="22313F"/>
                <w:sz w:val="16"/>
              </w:rPr>
              <w:t>Dashboard</w:t>
            </w:r>
          </w:p>
        </w:tc>
        <w:tc>
          <w:tcPr>
            <w:tcW w:type="dxa" w:w="7301"/>
            <w:vAlign w:val="center"/>
            <w:tcMar>
              <w:top w:w="45" w:type="dxa"/>
              <w:start w:w="90" w:type="dxa"/>
              <w:bottom w:w="45" w:type="dxa"/>
              <w:end w:w="90" w:type="dxa"/>
            </w:tcMar>
          </w:tcPr>
          <w:p>
            <w:pPr>
              <w:spacing w:after="20" w:before="20" w:line="240" w:lineRule="auto"/>
            </w:pPr>
            <w:r>
              <w:rPr>
                <w:rFonts w:ascii="Aptos" w:hAnsi="Aptos"/>
                <w:color w:val="22313F"/>
                <w:sz w:val="16"/>
              </w:rPr>
              <w:t>Angka cocok dengan data sumber, filter dan detail wilayah berfungsi, wilayah yang tak cocok tetap dilaporkan, dan batasan interpretasi terlihat.</w:t>
            </w:r>
          </w:p>
        </w:tc>
      </w:tr>
    </w:tbl>
    <w:p>
      <w:pPr>
        <w:spacing w:after="0"/>
      </w:pPr>
    </w:p>
    <w:tbl>
      <w:tblPr>
        <w:tblW w:type="auto" w:w="0"/>
        <w:tblLook w:firstColumn="1" w:firstRow="1" w:lastColumn="0" w:lastRow="0" w:noHBand="0" w:noVBand="1" w:val="04A0"/>
      </w:tblPr>
      <w:tblGrid>
        <w:gridCol w:w="10166"/>
      </w:tblGrid>
      <w:tr>
        <w:tc>
          <w:tcPr>
            <w:tcW w:type="dxa" w:w="10166"/>
            <w:shd w:fill="F4F7F9"/>
            <w:tcMar>
              <w:top w:w="140" w:type="dxa"/>
              <w:start w:w="170" w:type="dxa"/>
              <w:bottom w:w="140" w:type="dxa"/>
              <w:end w:w="170" w:type="dxa"/>
            </w:tcMar>
          </w:tcPr>
          <w:p>
            <w:pPr>
              <w:spacing w:after="60"/>
            </w:pPr>
            <w:r>
              <w:rPr>
                <w:rFonts w:ascii="Aptos" w:hAnsi="Aptos"/>
                <w:b/>
                <w:color w:val="18324B"/>
                <w:sz w:val="20"/>
              </w:rPr>
              <w:t>Catatan metrik</w:t>
            </w:r>
          </w:p>
          <w:p>
            <w:pPr>
              <w:spacing w:after="0" w:line="252" w:lineRule="auto"/>
            </w:pPr>
            <w:r>
              <w:rPr>
                <w:rFonts w:ascii="Aptos" w:hAnsi="Aptos"/>
                <w:color w:val="22313F"/>
                <w:sz w:val="18"/>
              </w:rPr>
              <w:t>Accuracy, precision, recall, dan F1-score bukan metrik utama untuk clustering. Metrik klasifikasi baru relevan jika label tervalidasi dan tujuan klasifikasi memang ditetapkan secara sah.</w:t>
            </w:r>
          </w:p>
        </w:tc>
      </w:tr>
    </w:tbl>
    <w:p>
      <w:pPr>
        <w:spacing w:after="0"/>
      </w:pPr>
    </w:p>
    <w:p>
      <w:pPr>
        <w:pStyle w:val="Heading1"/>
      </w:pPr>
      <w:r>
        <w:t>7. Rancangan Dashboard</w:t>
      </w:r>
    </w:p>
    <w:p>
      <w:pPr>
        <w:spacing w:after="80"/>
      </w:pPr>
      <w:r>
        <w:t>Pendekatan dashboard: explanatory dashboard dengan interaksi terarah. Alur cerita bergerak dari gambaran kemiskinan, perbedaan profil daerah, indikator pembeda antarkelompok, hingga wilayah yang perlu diperiksa lebih lanjut. Setiap halaman menyampaikan satu pesan utama melalui judul berbasis insight, visual pendukung, dan anotasi ringkas. Insight spesifik baru ditulis setelah hasil analisis tersedia; filter dan tooltip digunakan untuk memperdalam pemahaman.</w:t>
      </w:r>
    </w:p>
    <w:tbl>
      <w:tblPr>
        <w:tblW w:type="auto" w:w="0"/>
        <w:jc w:val="center"/>
        <w:tblLayout w:type="fixed"/>
        <w:tblLook w:firstColumn="1" w:firstRow="1" w:lastColumn="0" w:lastRow="0" w:noHBand="0" w:noVBand="1" w:val="04A0"/>
      </w:tblPr>
      <w:tblGrid>
        <w:gridCol w:w="3389"/>
        <w:gridCol w:w="3389"/>
        <w:gridCol w:w="3389"/>
      </w:tblGrid>
      <w:tr>
        <w:trPr>
          <w:cantSplit/>
          <w:tblHeader w:val="true"/>
        </w:trPr>
        <w:tc>
          <w:tcPr>
            <w:tcW w:type="dxa" w:w="2088"/>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Halaman</w:t>
            </w:r>
          </w:p>
        </w:tc>
        <w:tc>
          <w:tcPr>
            <w:tcW w:type="dxa" w:w="4176"/>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Komponen utama</w:t>
            </w:r>
          </w:p>
        </w:tc>
        <w:tc>
          <w:tcPr>
            <w:tcW w:type="dxa" w:w="3269"/>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Pertanyaan yang dijawab</w:t>
            </w:r>
          </w:p>
        </w:tc>
      </w:tr>
      <w:tr>
        <w:trPr>
          <w:cantSplit/>
        </w:trPr>
        <w:tc>
          <w:tcPr>
            <w:tcW w:type="dxa" w:w="2088"/>
            <w:vAlign w:val="center"/>
            <w:tcMar>
              <w:top w:w="45" w:type="dxa"/>
              <w:start w:w="90" w:type="dxa"/>
              <w:bottom w:w="45" w:type="dxa"/>
              <w:end w:w="90" w:type="dxa"/>
            </w:tcMar>
          </w:tcPr>
          <w:p>
            <w:pPr>
              <w:spacing w:after="20" w:before="20" w:line="240" w:lineRule="auto"/>
            </w:pPr>
            <w:r>
              <w:rPr>
                <w:rFonts w:ascii="Aptos" w:hAnsi="Aptos"/>
                <w:color w:val="22313F"/>
                <w:sz w:val="16"/>
              </w:rPr>
              <w:t>1. Poverty Landscape</w:t>
            </w:r>
          </w:p>
        </w:tc>
        <w:tc>
          <w:tcPr>
            <w:tcW w:type="dxa" w:w="4176"/>
            <w:vAlign w:val="center"/>
            <w:tcMar>
              <w:top w:w="45" w:type="dxa"/>
              <w:start w:w="90" w:type="dxa"/>
              <w:bottom w:w="45" w:type="dxa"/>
              <w:end w:w="90" w:type="dxa"/>
            </w:tcMar>
          </w:tcPr>
          <w:p>
            <w:pPr>
              <w:spacing w:after="20" w:before="20" w:line="240" w:lineRule="auto"/>
            </w:pPr>
            <w:r>
              <w:rPr>
                <w:rFonts w:ascii="Aptos" w:hAnsi="Aptos"/>
                <w:color w:val="22313F"/>
                <w:sz w:val="16"/>
              </w:rPr>
              <w:t>Ringkasan P0, distribusi dan variasi kemiskinan, cakupan data, serta judul insight utama yang didukung hasil analisis.</w:t>
            </w:r>
          </w:p>
        </w:tc>
        <w:tc>
          <w:tcPr>
            <w:tcW w:type="dxa" w:w="3269"/>
            <w:vAlign w:val="center"/>
            <w:tcMar>
              <w:top w:w="45" w:type="dxa"/>
              <w:start w:w="90" w:type="dxa"/>
              <w:bottom w:w="45" w:type="dxa"/>
              <w:end w:w="90" w:type="dxa"/>
            </w:tcMar>
          </w:tcPr>
          <w:p>
            <w:pPr>
              <w:spacing w:after="20" w:before="20" w:line="240" w:lineRule="auto"/>
            </w:pPr>
            <w:r>
              <w:rPr>
                <w:rFonts w:ascii="Aptos" w:hAnsi="Aptos"/>
                <w:color w:val="22313F"/>
                <w:sz w:val="16"/>
              </w:rPr>
              <w:t>Apa gambaran kemiskinan pada wilayah yang tercakup dan pola penting apa yang terlihat?</w:t>
            </w:r>
          </w:p>
        </w:tc>
      </w:tr>
      <w:tr>
        <w:trPr>
          <w:cantSplit/>
        </w:trPr>
        <w:tc>
          <w:tcPr>
            <w:tcW w:type="dxa" w:w="2088"/>
            <w:vAlign w:val="center"/>
            <w:tcMar>
              <w:top w:w="45" w:type="dxa"/>
              <w:start w:w="90" w:type="dxa"/>
              <w:bottom w:w="45" w:type="dxa"/>
              <w:end w:w="90" w:type="dxa"/>
            </w:tcMar>
            <w:shd w:fill="F4F7F9"/>
          </w:tcPr>
          <w:p>
            <w:pPr>
              <w:spacing w:after="20" w:before="20" w:line="240" w:lineRule="auto"/>
            </w:pPr>
            <w:r>
              <w:rPr>
                <w:rFonts w:ascii="Aptos" w:hAnsi="Aptos"/>
                <w:color w:val="22313F"/>
                <w:sz w:val="16"/>
              </w:rPr>
              <w:t>2. Poverty &amp; Indicator Map</w:t>
            </w:r>
          </w:p>
        </w:tc>
        <w:tc>
          <w:tcPr>
            <w:tcW w:type="dxa" w:w="4176"/>
            <w:vAlign w:val="center"/>
            <w:tcMar>
              <w:top w:w="45" w:type="dxa"/>
              <w:start w:w="90" w:type="dxa"/>
              <w:bottom w:w="45" w:type="dxa"/>
              <w:end w:w="90" w:type="dxa"/>
            </w:tcMar>
            <w:shd w:fill="F4F7F9"/>
          </w:tcPr>
          <w:p>
            <w:pPr>
              <w:spacing w:after="20" w:before="20" w:line="240" w:lineRule="auto"/>
            </w:pPr>
            <w:r>
              <w:rPr>
                <w:rFonts w:ascii="Aptos" w:hAnsi="Aptos"/>
                <w:color w:val="22313F"/>
                <w:sz w:val="16"/>
              </w:rPr>
              <w:t>Peta P0/indikator pilihan dengan legenda jelas, anotasi area penting, filter provinsi, pencarian, dan tooltip detail wilayah.</w:t>
            </w:r>
          </w:p>
        </w:tc>
        <w:tc>
          <w:tcPr>
            <w:tcW w:type="dxa" w:w="3269"/>
            <w:vAlign w:val="center"/>
            <w:tcMar>
              <w:top w:w="45" w:type="dxa"/>
              <w:start w:w="90" w:type="dxa"/>
              <w:bottom w:w="45" w:type="dxa"/>
              <w:end w:w="90" w:type="dxa"/>
            </w:tcMar>
            <w:shd w:fill="F4F7F9"/>
          </w:tcPr>
          <w:p>
            <w:pPr>
              <w:spacing w:after="20" w:before="20" w:line="240" w:lineRule="auto"/>
            </w:pPr>
            <w:r>
              <w:rPr>
                <w:rFonts w:ascii="Aptos" w:hAnsi="Aptos"/>
                <w:color w:val="22313F"/>
                <w:sz w:val="16"/>
              </w:rPr>
              <w:t>Di mana pola geografis atau perbedaan indikator paling terlihat?</w:t>
            </w:r>
          </w:p>
        </w:tc>
      </w:tr>
      <w:tr>
        <w:trPr>
          <w:cantSplit/>
        </w:trPr>
        <w:tc>
          <w:tcPr>
            <w:tcW w:type="dxa" w:w="2088"/>
            <w:vAlign w:val="center"/>
            <w:tcMar>
              <w:top w:w="45" w:type="dxa"/>
              <w:start w:w="90" w:type="dxa"/>
              <w:bottom w:w="45" w:type="dxa"/>
              <w:end w:w="90" w:type="dxa"/>
            </w:tcMar>
          </w:tcPr>
          <w:p>
            <w:pPr>
              <w:spacing w:after="20" w:before="20" w:line="240" w:lineRule="auto"/>
            </w:pPr>
            <w:r>
              <w:rPr>
                <w:rFonts w:ascii="Aptos" w:hAnsi="Aptos"/>
                <w:color w:val="22313F"/>
                <w:sz w:val="16"/>
              </w:rPr>
              <w:t>3. Regional Profiles</w:t>
            </w:r>
          </w:p>
        </w:tc>
        <w:tc>
          <w:tcPr>
            <w:tcW w:type="dxa" w:w="4176"/>
            <w:vAlign w:val="center"/>
            <w:tcMar>
              <w:top w:w="45" w:type="dxa"/>
              <w:start w:w="90" w:type="dxa"/>
              <w:bottom w:w="45" w:type="dxa"/>
              <w:end w:w="90" w:type="dxa"/>
            </w:tcMar>
          </w:tcPr>
          <w:p>
            <w:pPr>
              <w:spacing w:after="20" w:before="20" w:line="240" w:lineRule="auto"/>
            </w:pPr>
            <w:r>
              <w:rPr>
                <w:rFonts w:ascii="Aptos" w:hAnsi="Aptos"/>
                <w:color w:val="22313F"/>
                <w:sz w:val="16"/>
              </w:rPr>
              <w:t>Profil tiap cluster, indikator pembeda, jumlah anggota, distribusi P0 antarkelompok, dan contoh wilayah.</w:t>
            </w:r>
          </w:p>
        </w:tc>
        <w:tc>
          <w:tcPr>
            <w:tcW w:type="dxa" w:w="3269"/>
            <w:vAlign w:val="center"/>
            <w:tcMar>
              <w:top w:w="45" w:type="dxa"/>
              <w:start w:w="90" w:type="dxa"/>
              <w:bottom w:w="45" w:type="dxa"/>
              <w:end w:w="90" w:type="dxa"/>
            </w:tcMar>
          </w:tcPr>
          <w:p>
            <w:pPr>
              <w:spacing w:after="20" w:before="20" w:line="240" w:lineRule="auto"/>
            </w:pPr>
            <w:r>
              <w:rPr>
                <w:rFonts w:ascii="Aptos" w:hAnsi="Aptos"/>
                <w:color w:val="22313F"/>
                <w:sz w:val="16"/>
              </w:rPr>
              <w:t>Apa karakteristik setiap kelompok daerah dan apa yang membedakannya?</w:t>
            </w:r>
          </w:p>
        </w:tc>
      </w:tr>
      <w:tr>
        <w:trPr>
          <w:cantSplit/>
        </w:trPr>
        <w:tc>
          <w:tcPr>
            <w:tcW w:type="dxa" w:w="2088"/>
            <w:vAlign w:val="center"/>
            <w:tcMar>
              <w:top w:w="45" w:type="dxa"/>
              <w:start w:w="90" w:type="dxa"/>
              <w:bottom w:w="45" w:type="dxa"/>
              <w:end w:w="90" w:type="dxa"/>
            </w:tcMar>
            <w:shd w:fill="F4F7F9"/>
          </w:tcPr>
          <w:p>
            <w:pPr>
              <w:spacing w:after="20" w:before="20" w:line="240" w:lineRule="auto"/>
            </w:pPr>
            <w:r>
              <w:rPr>
                <w:rFonts w:ascii="Aptos" w:hAnsi="Aptos"/>
                <w:color w:val="22313F"/>
                <w:sz w:val="16"/>
              </w:rPr>
              <w:t>4. Priority &amp; Implications</w:t>
            </w:r>
          </w:p>
        </w:tc>
        <w:tc>
          <w:tcPr>
            <w:tcW w:type="dxa" w:w="4176"/>
            <w:vAlign w:val="center"/>
            <w:tcMar>
              <w:top w:w="45" w:type="dxa"/>
              <w:start w:w="90" w:type="dxa"/>
              <w:bottom w:w="45" w:type="dxa"/>
              <w:end w:w="90" w:type="dxa"/>
            </w:tcMar>
            <w:shd w:fill="F4F7F9"/>
          </w:tcPr>
          <w:p>
            <w:pPr>
              <w:spacing w:after="20" w:before="20" w:line="240" w:lineRule="auto"/>
            </w:pPr>
            <w:r>
              <w:rPr>
                <w:rFonts w:ascii="Aptos" w:hAnsi="Aptos"/>
                <w:color w:val="22313F"/>
                <w:sz w:val="16"/>
              </w:rPr>
              <w:t>Matriks P0 dan indikator struktural terpilih, daftar wilayah yang ditandai, alasan penandaan, dan batas interpretasi.</w:t>
            </w:r>
          </w:p>
        </w:tc>
        <w:tc>
          <w:tcPr>
            <w:tcW w:type="dxa" w:w="3269"/>
            <w:vAlign w:val="center"/>
            <w:tcMar>
              <w:top w:w="45" w:type="dxa"/>
              <w:start w:w="90" w:type="dxa"/>
              <w:bottom w:w="45" w:type="dxa"/>
              <w:end w:w="90" w:type="dxa"/>
            </w:tcMar>
            <w:shd w:fill="F4F7F9"/>
          </w:tcPr>
          <w:p>
            <w:pPr>
              <w:spacing w:after="20" w:before="20" w:line="240" w:lineRule="auto"/>
            </w:pPr>
            <w:r>
              <w:rPr>
                <w:rFonts w:ascii="Aptos" w:hAnsi="Aptos"/>
                <w:color w:val="22313F"/>
                <w:sz w:val="16"/>
              </w:rPr>
              <w:t>Wilayah mana yang layak dianalisis lebih lanjut berdasarkan kondisi yang teramati?</w:t>
            </w:r>
          </w:p>
        </w:tc>
      </w:tr>
      <w:tr>
        <w:trPr>
          <w:cantSplit/>
        </w:trPr>
        <w:tc>
          <w:tcPr>
            <w:tcW w:type="dxa" w:w="2088"/>
            <w:vAlign w:val="center"/>
            <w:tcMar>
              <w:top w:w="45" w:type="dxa"/>
              <w:start w:w="90" w:type="dxa"/>
              <w:bottom w:w="45" w:type="dxa"/>
              <w:end w:w="90" w:type="dxa"/>
            </w:tcMar>
          </w:tcPr>
          <w:p>
            <w:pPr>
              <w:spacing w:after="20" w:before="20" w:line="240" w:lineRule="auto"/>
            </w:pPr>
            <w:r>
              <w:rPr>
                <w:rFonts w:ascii="Aptos" w:hAnsi="Aptos"/>
                <w:color w:val="22313F"/>
                <w:sz w:val="16"/>
              </w:rPr>
              <w:t>5. Methodology &amp; Data Quality</w:t>
            </w:r>
          </w:p>
        </w:tc>
        <w:tc>
          <w:tcPr>
            <w:tcW w:type="dxa" w:w="4176"/>
            <w:vAlign w:val="center"/>
            <w:tcMar>
              <w:top w:w="45" w:type="dxa"/>
              <w:start w:w="90" w:type="dxa"/>
              <w:bottom w:w="45" w:type="dxa"/>
              <w:end w:w="90" w:type="dxa"/>
            </w:tcMar>
          </w:tcPr>
          <w:p>
            <w:pPr>
              <w:spacing w:after="20" w:before="20" w:line="240" w:lineRule="auto"/>
            </w:pPr>
            <w:r>
              <w:rPr>
                <w:rFonts w:ascii="Aptos" w:hAnsi="Aptos"/>
                <w:color w:val="22313F"/>
                <w:sz w:val="16"/>
              </w:rPr>
              <w:t>Sumber dan periode, definisi variabel, fitur dan metode, hasil evaluasi, kualitas data, serta keterbatasan.</w:t>
            </w:r>
          </w:p>
        </w:tc>
        <w:tc>
          <w:tcPr>
            <w:tcW w:type="dxa" w:w="3269"/>
            <w:vAlign w:val="center"/>
            <w:tcMar>
              <w:top w:w="45" w:type="dxa"/>
              <w:start w:w="90" w:type="dxa"/>
              <w:bottom w:w="45" w:type="dxa"/>
              <w:end w:w="90" w:type="dxa"/>
            </w:tcMar>
          </w:tcPr>
          <w:p>
            <w:pPr>
              <w:spacing w:after="20" w:before="20" w:line="240" w:lineRule="auto"/>
            </w:pPr>
            <w:r>
              <w:rPr>
                <w:rFonts w:ascii="Aptos" w:hAnsi="Aptos"/>
                <w:color w:val="22313F"/>
                <w:sz w:val="16"/>
              </w:rPr>
              <w:t>Bagaimana temuan diperoleh dan apa yang tidak dapat disimpulkan?</w:t>
            </w:r>
          </w:p>
        </w:tc>
      </w:tr>
    </w:tbl>
    <w:p>
      <w:pPr>
        <w:spacing w:after="0"/>
      </w:pPr>
    </w:p>
    <w:p>
      <w:r>
        <w:br w:type="page"/>
      </w:r>
    </w:p>
    <w:p>
      <w:pPr>
        <w:pStyle w:val="Heading1"/>
      </w:pPr>
      <w:r>
        <w:t>8. Luaran dan Kriteria Penerimaan</w:t>
      </w:r>
    </w:p>
    <w:p>
      <w:pPr>
        <w:pStyle w:val="Heading2"/>
      </w:pPr>
      <w:r>
        <w:t>Luaran utama</w:t>
      </w:r>
    </w:p>
    <w:p>
      <w:pPr>
        <w:pStyle w:val="ListBullet"/>
        <w:spacing w:after="40"/>
        <w:ind w:left="317" w:hanging="173"/>
      </w:pPr>
      <w:r>
        <w:t>Dashboard interaktif PovertyRadar SDGs.</w:t>
      </w:r>
    </w:p>
    <w:p>
      <w:pPr>
        <w:pStyle w:val="ListBullet"/>
        <w:spacing w:after="40"/>
        <w:ind w:left="317" w:hanging="173"/>
      </w:pPr>
      <w:r>
        <w:t>Notebook atau skrip analisis yang dapat dijalankan ulang, beserta dokumentasi preprocessing dan pemilihan fitur.</w:t>
      </w:r>
    </w:p>
    <w:p>
      <w:pPr>
        <w:pStyle w:val="ListBullet"/>
        <w:spacing w:after="40"/>
        <w:ind w:left="317" w:hanging="173"/>
      </w:pPr>
      <w:r>
        <w:t>Ringkasan profil cluster, hasil evaluasi, kriteria skrining, serta catatan keterbatasan data.</w:t>
      </w:r>
    </w:p>
    <w:p>
      <w:pPr>
        <w:pStyle w:val="Heading2"/>
      </w:pPr>
      <w:r>
        <w:t>Kriteria penerimaan</w:t>
      </w:r>
    </w:p>
    <w:p>
      <w:pPr>
        <w:pStyle w:val="ListBullet"/>
        <w:spacing w:after="40"/>
        <w:ind w:left="317" w:hanging="173"/>
      </w:pPr>
      <w:r>
        <w:t>Statistik dan visualisasi dashboard konsisten dengan file analisis; jumlah observasi dan wilayah yang tidak terpetakan dilaporkan secara eksplisit.</w:t>
      </w:r>
    </w:p>
    <w:p>
      <w:pPr>
        <w:pStyle w:val="ListBullet"/>
        <w:spacing w:after="40"/>
        <w:ind w:left="317" w:hanging="173"/>
      </w:pPr>
      <w:r>
        <w:t>Daftar fitur, cara preprocessing, pemilihan jumlah cluster, dan evaluasi terdokumentasi.</w:t>
      </w:r>
    </w:p>
    <w:p>
      <w:pPr>
        <w:pStyle w:val="ListBullet"/>
        <w:spacing w:after="40"/>
        <w:ind w:left="317" w:hanging="173"/>
      </w:pPr>
      <w:r>
        <w:t>Cluster diberi interpretasi berdasarkan profil hasil, bukan nama yang ditetapkan sebelum analisis.</w:t>
      </w:r>
    </w:p>
    <w:p>
      <w:pPr>
        <w:pStyle w:val="ListBullet"/>
        <w:spacing w:after="40"/>
        <w:ind w:left="317" w:hanging="173"/>
      </w:pPr>
      <w:r>
        <w:t>Setiap penandaan wilayah pada halaman skrining dapat dijelaskan dari indikator dan kriteria yang ditampilkan.</w:t>
      </w:r>
    </w:p>
    <w:p>
      <w:pPr>
        <w:pStyle w:val="ListBullet"/>
        <w:spacing w:after="40"/>
        <w:ind w:left="317" w:hanging="173"/>
      </w:pPr>
      <w:r>
        <w:t>Periode data, sumber, definisi variabel, dan batas interpretasi dicantumkan dengan jelas.</w:t>
      </w:r>
    </w:p>
    <w:p>
      <w:pPr>
        <w:pStyle w:val="Heading1"/>
      </w:pPr>
      <w:r>
        <w:t>9. Tahap Kerja Berikutnya</w:t>
      </w:r>
    </w:p>
    <w:tbl>
      <w:tblPr>
        <w:tblW w:type="auto" w:w="0"/>
        <w:jc w:val="center"/>
        <w:tblLayout w:type="fixed"/>
        <w:tblLook w:firstColumn="1" w:firstRow="1" w:lastColumn="0" w:lastRow="0" w:noHBand="0" w:noVBand="1" w:val="04A0"/>
      </w:tblPr>
      <w:tblGrid>
        <w:gridCol w:w="5083"/>
        <w:gridCol w:w="5083"/>
      </w:tblGrid>
      <w:tr>
        <w:trPr>
          <w:cantSplit/>
          <w:tblHeader w:val="true"/>
        </w:trPr>
        <w:tc>
          <w:tcPr>
            <w:tcW w:type="dxa" w:w="1008"/>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Urutan</w:t>
            </w:r>
          </w:p>
        </w:tc>
        <w:tc>
          <w:tcPr>
            <w:tcW w:type="dxa" w:w="8525"/>
            <w:vAlign w:val="center"/>
            <w:tcMar>
              <w:top w:w="45" w:type="dxa"/>
              <w:start w:w="90" w:type="dxa"/>
              <w:bottom w:w="45" w:type="dxa"/>
              <w:end w:w="90" w:type="dxa"/>
            </w:tcMar>
            <w:shd w:fill="18324B"/>
          </w:tcPr>
          <w:p>
            <w:pPr>
              <w:spacing w:after="20" w:before="20" w:line="240" w:lineRule="auto"/>
            </w:pPr>
            <w:r>
              <w:rPr>
                <w:rFonts w:ascii="Aptos" w:hAnsi="Aptos"/>
                <w:b/>
                <w:color w:val="FFFFFF"/>
                <w:sz w:val="16"/>
              </w:rPr>
              <w:t>Prioritas</w:t>
            </w:r>
          </w:p>
        </w:tc>
      </w:tr>
      <w:tr>
        <w:trPr>
          <w:cantSplit/>
        </w:trPr>
        <w:tc>
          <w:tcPr>
            <w:tcW w:type="dxa" w:w="1008"/>
            <w:vAlign w:val="center"/>
            <w:tcMar>
              <w:top w:w="45" w:type="dxa"/>
              <w:start w:w="90" w:type="dxa"/>
              <w:bottom w:w="45" w:type="dxa"/>
              <w:end w:w="90" w:type="dxa"/>
            </w:tcMar>
          </w:tcPr>
          <w:p>
            <w:pPr>
              <w:spacing w:after="20" w:before="20" w:line="240" w:lineRule="auto"/>
            </w:pPr>
            <w:r>
              <w:rPr>
                <w:rFonts w:ascii="Aptos" w:hAnsi="Aptos"/>
                <w:color w:val="22313F"/>
                <w:sz w:val="16"/>
              </w:rPr>
              <w:t>1</w:t>
            </w:r>
          </w:p>
        </w:tc>
        <w:tc>
          <w:tcPr>
            <w:tcW w:type="dxa" w:w="8525"/>
            <w:vAlign w:val="center"/>
            <w:tcMar>
              <w:top w:w="45" w:type="dxa"/>
              <w:start w:w="90" w:type="dxa"/>
              <w:bottom w:w="45" w:type="dxa"/>
              <w:end w:w="90" w:type="dxa"/>
            </w:tcMar>
          </w:tcPr>
          <w:p>
            <w:pPr>
              <w:spacing w:after="20" w:before="20" w:line="240" w:lineRule="auto"/>
            </w:pPr>
            <w:r>
              <w:rPr>
                <w:rFonts w:ascii="Aptos" w:hAnsi="Aptos"/>
                <w:color w:val="22313F"/>
                <w:sz w:val="16"/>
              </w:rPr>
              <w:t>Verifikasi tahun/sumber indikator, satuan PDRB, nilai nol, label klasifikasi, dan referensi batas administratif.</w:t>
            </w:r>
          </w:p>
        </w:tc>
      </w:tr>
      <w:tr>
        <w:trPr>
          <w:cantSplit/>
        </w:trPr>
        <w:tc>
          <w:tcPr>
            <w:tcW w:type="dxa" w:w="1008"/>
            <w:vAlign w:val="center"/>
            <w:tcMar>
              <w:top w:w="45" w:type="dxa"/>
              <w:start w:w="90" w:type="dxa"/>
              <w:bottom w:w="45" w:type="dxa"/>
              <w:end w:w="90" w:type="dxa"/>
            </w:tcMar>
            <w:shd w:fill="F4F7F9"/>
          </w:tcPr>
          <w:p>
            <w:pPr>
              <w:spacing w:after="20" w:before="20" w:line="240" w:lineRule="auto"/>
            </w:pPr>
            <w:r>
              <w:rPr>
                <w:rFonts w:ascii="Aptos" w:hAnsi="Aptos"/>
                <w:color w:val="22313F"/>
                <w:sz w:val="16"/>
              </w:rPr>
              <w:t>2</w:t>
            </w:r>
          </w:p>
        </w:tc>
        <w:tc>
          <w:tcPr>
            <w:tcW w:type="dxa" w:w="8525"/>
            <w:vAlign w:val="center"/>
            <w:tcMar>
              <w:top w:w="45" w:type="dxa"/>
              <w:start w:w="90" w:type="dxa"/>
              <w:bottom w:w="45" w:type="dxa"/>
              <w:end w:w="90" w:type="dxa"/>
            </w:tcMar>
            <w:shd w:fill="F4F7F9"/>
          </w:tcPr>
          <w:p>
            <w:pPr>
              <w:spacing w:after="20" w:before="20" w:line="240" w:lineRule="auto"/>
            </w:pPr>
            <w:r>
              <w:rPr>
                <w:rFonts w:ascii="Aptos" w:hAnsi="Aptos"/>
                <w:color w:val="22313F"/>
                <w:sz w:val="16"/>
              </w:rPr>
              <w:t>Selesaikan EDA dan catat variabel yang layak digunakan beserta alasan pemilihannya.</w:t>
            </w:r>
          </w:p>
        </w:tc>
      </w:tr>
      <w:tr>
        <w:trPr>
          <w:cantSplit/>
        </w:trPr>
        <w:tc>
          <w:tcPr>
            <w:tcW w:type="dxa" w:w="1008"/>
            <w:vAlign w:val="center"/>
            <w:tcMar>
              <w:top w:w="45" w:type="dxa"/>
              <w:start w:w="90" w:type="dxa"/>
              <w:bottom w:w="45" w:type="dxa"/>
              <w:end w:w="90" w:type="dxa"/>
            </w:tcMar>
          </w:tcPr>
          <w:p>
            <w:pPr>
              <w:spacing w:after="20" w:before="20" w:line="240" w:lineRule="auto"/>
            </w:pPr>
            <w:r>
              <w:rPr>
                <w:rFonts w:ascii="Aptos" w:hAnsi="Aptos"/>
                <w:color w:val="22313F"/>
                <w:sz w:val="16"/>
              </w:rPr>
              <w:t>3</w:t>
            </w:r>
          </w:p>
        </w:tc>
        <w:tc>
          <w:tcPr>
            <w:tcW w:type="dxa" w:w="8525"/>
            <w:vAlign w:val="center"/>
            <w:tcMar>
              <w:top w:w="45" w:type="dxa"/>
              <w:start w:w="90" w:type="dxa"/>
              <w:bottom w:w="45" w:type="dxa"/>
              <w:end w:w="90" w:type="dxa"/>
            </w:tcMar>
          </w:tcPr>
          <w:p>
            <w:pPr>
              <w:spacing w:after="20" w:before="20" w:line="240" w:lineRule="auto"/>
            </w:pPr>
            <w:r>
              <w:rPr>
                <w:rFonts w:ascii="Aptos" w:hAnsi="Aptos"/>
                <w:color w:val="22313F"/>
                <w:sz w:val="16"/>
              </w:rPr>
              <w:t>Bangun baseline clustering, bandingkan kandidat konfigurasi, dan interpretasikan profil cluster.</w:t>
            </w:r>
          </w:p>
        </w:tc>
      </w:tr>
      <w:tr>
        <w:trPr>
          <w:cantSplit/>
        </w:trPr>
        <w:tc>
          <w:tcPr>
            <w:tcW w:type="dxa" w:w="1008"/>
            <w:vAlign w:val="center"/>
            <w:tcMar>
              <w:top w:w="45" w:type="dxa"/>
              <w:start w:w="90" w:type="dxa"/>
              <w:bottom w:w="45" w:type="dxa"/>
              <w:end w:w="90" w:type="dxa"/>
            </w:tcMar>
            <w:shd w:fill="F4F7F9"/>
          </w:tcPr>
          <w:p>
            <w:pPr>
              <w:spacing w:after="20" w:before="20" w:line="240" w:lineRule="auto"/>
            </w:pPr>
            <w:r>
              <w:rPr>
                <w:rFonts w:ascii="Aptos" w:hAnsi="Aptos"/>
                <w:color w:val="22313F"/>
                <w:sz w:val="16"/>
              </w:rPr>
              <w:t>4</w:t>
            </w:r>
          </w:p>
        </w:tc>
        <w:tc>
          <w:tcPr>
            <w:tcW w:type="dxa" w:w="8525"/>
            <w:vAlign w:val="center"/>
            <w:tcMar>
              <w:top w:w="45" w:type="dxa"/>
              <w:start w:w="90" w:type="dxa"/>
              <w:bottom w:w="45" w:type="dxa"/>
              <w:end w:w="90" w:type="dxa"/>
            </w:tcMar>
            <w:shd w:fill="F4F7F9"/>
          </w:tcPr>
          <w:p>
            <w:pPr>
              <w:spacing w:after="20" w:before="20" w:line="240" w:lineRule="auto"/>
            </w:pPr>
            <w:r>
              <w:rPr>
                <w:rFonts w:ascii="Aptos" w:hAnsi="Aptos"/>
                <w:color w:val="22313F"/>
                <w:sz w:val="16"/>
              </w:rPr>
              <w:t>Rancang skrining relatif dengan kriteria transparan dan lakukan uji sensitivitas.</w:t>
            </w:r>
          </w:p>
        </w:tc>
      </w:tr>
      <w:tr>
        <w:trPr>
          <w:cantSplit/>
        </w:trPr>
        <w:tc>
          <w:tcPr>
            <w:tcW w:type="dxa" w:w="1008"/>
            <w:vAlign w:val="center"/>
            <w:tcMar>
              <w:top w:w="45" w:type="dxa"/>
              <w:start w:w="90" w:type="dxa"/>
              <w:bottom w:w="45" w:type="dxa"/>
              <w:end w:w="90" w:type="dxa"/>
            </w:tcMar>
          </w:tcPr>
          <w:p>
            <w:pPr>
              <w:spacing w:after="20" w:before="20" w:line="240" w:lineRule="auto"/>
            </w:pPr>
            <w:r>
              <w:rPr>
                <w:rFonts w:ascii="Aptos" w:hAnsi="Aptos"/>
                <w:color w:val="22313F"/>
                <w:sz w:val="16"/>
              </w:rPr>
              <w:t>5</w:t>
            </w:r>
          </w:p>
        </w:tc>
        <w:tc>
          <w:tcPr>
            <w:tcW w:type="dxa" w:w="8525"/>
            <w:vAlign w:val="center"/>
            <w:tcMar>
              <w:top w:w="45" w:type="dxa"/>
              <w:start w:w="90" w:type="dxa"/>
              <w:bottom w:w="45" w:type="dxa"/>
              <w:end w:w="90" w:type="dxa"/>
            </w:tcMar>
          </w:tcPr>
          <w:p>
            <w:pPr>
              <w:spacing w:after="20" w:before="20" w:line="240" w:lineRule="auto"/>
            </w:pPr>
            <w:r>
              <w:rPr>
                <w:rFonts w:ascii="Aptos" w:hAnsi="Aptos"/>
                <w:color w:val="22313F"/>
                <w:sz w:val="16"/>
              </w:rPr>
              <w:t>Bangun serta uji dashboard berdasarkan hasil analisis yang sudah tervalidasi.</w:t>
            </w:r>
          </w:p>
        </w:tc>
      </w:tr>
    </w:tbl>
    <w:p>
      <w:pPr>
        <w:spacing w:after="0"/>
      </w:pPr>
    </w:p>
    <w:p>
      <w:pPr>
        <w:pStyle w:val="Heading2"/>
      </w:pPr>
      <w:r>
        <w:t>Sumber data</w:t>
      </w:r>
    </w:p>
    <w:p>
      <w:pPr>
        <w:spacing w:after="40"/>
      </w:pPr>
      <w:r>
        <w:rPr>
          <w:sz w:val="17"/>
        </w:rPr>
        <w:t xml:space="preserve">Ldausl. “Klasifikasi Tingkat Kemiskinan di Indonesia.” Kaggle dataset. </w:t>
      </w:r>
      <w:r>
        <w:rPr>
          <w:color w:val="0A8F8F"/>
          <w:sz w:val="17"/>
          <w:u w:val="single"/>
        </w:rPr>
        <w:t>https://www.kaggle.com/datasets/ldausl/klasifikasi-tingkat-kemiskinan-di-indonesia</w:t>
      </w:r>
    </w:p>
    <w:p>
      <w:pPr>
        <w:pStyle w:val="SmallNote"/>
      </w:pPr>
      <w:r>
        <w:t>Catatan: temuan audit dalam dokumen ini merujuk pada file CSV yang diunggah untuk proyek. Validitas substantif setiap indikator tetap bergantung pada verifikasi dokumentasi sumber dan periode pengamatan.</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B76"/>
        <w:sz w:val="15"/>
      </w:rPr>
      <w:t xml:space="preserve">Dokumen perencanaan proyek akademik  •  </w:t>
    </w:r>
    <w:r>
      <w:rPr>
        <w:rFonts w:ascii="Aptos" w:hAnsi="Aptos"/>
        <w:color w:val="5C6B76"/>
        <w:sz w:val="15"/>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A8F8F"/>
        <w:sz w:val="15"/>
      </w:rPr>
      <w:t>POVERTYRADAR SDGs  |  PROBLEM FRAMING &amp; OBJEKTIF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23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0A8F8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324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i/>
      <w:color w:val="5C6B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PovertyRadar SDGs - Problem Framing dan Objektif Proyek</dc:title>
  <dc:subject>Problem framing, data understanding, objective, methodology, and dashboard scope</dc:subject>
  <dc:creator>PovertyRadar SDGs Project Team</dc:creator>
  <cp:keywords>PovertyRadar SDGs, kemiskinan, clustering, dashboard, problem framing</cp:keywords>
  <dc:description>generated by python-docx</dc:description>
  <cp:lastModifiedBy/>
  <cp:revision>1</cp:revision>
  <dcterms:created xsi:type="dcterms:W3CDTF">2013-12-23T23:15:00Z</dcterms:created>
  <dcterms:modified xsi:type="dcterms:W3CDTF">2013-12-23T23:15:00Z</dcterms:modified>
  <cp:category/>
</cp:coreProperties>
</file>