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E293B"/>
          <w:sz w:val="32"/>
        </w:rPr>
        <w:t>PROPOSAL PROYEK INOVASI TEKNOLOGI KESEHATAN</w:t>
      </w:r>
    </w:p>
    <w:p>
      <w:pPr>
        <w:spacing w:after="360"/>
        <w:jc w:val="center"/>
      </w:pPr>
      <w:r>
        <w:rPr>
          <w:rFonts w:ascii="Calibri" w:hAnsi="Calibri"/>
          <w:b/>
          <w:color w:val="4F46E5"/>
          <w:sz w:val="24"/>
        </w:rPr>
        <w:t>CaffiSense: Smart Caffeine Metabolism Tracker &amp; Circadian Health Optimizer with Machine Learning and Interactive 3D Organ Anatomy Visualization</w:t>
      </w:r>
    </w:p>
    <w:p>
      <w:pPr>
        <w:spacing w:after="280"/>
      </w:pPr>
      <w:r>
        <w:rPr>
          <w:color w:val="CBD5E1"/>
        </w:rPr>
        <w:t>――――――――――――――――――――――――――――――――――――――――――――――――――――――――――</w:t>
      </w:r>
    </w:p>
    <w:p>
      <w:pPr>
        <w:keepNext/>
        <w:spacing w:before="280" w:after="80"/>
      </w:pPr>
      <w:r>
        <w:rPr>
          <w:rFonts w:ascii="Calibri" w:hAnsi="Calibri"/>
          <w:b/>
          <w:color w:val="4F46E5"/>
          <w:sz w:val="26"/>
        </w:rPr>
        <w:t xml:space="preserve">1. </w:t>
      </w:r>
      <w:r>
        <w:rPr>
          <w:rFonts w:ascii="Calibri" w:hAnsi="Calibri"/>
          <w:b/>
          <w:color w:val="0F172A"/>
          <w:sz w:val="26"/>
        </w:rPr>
        <w:t>Judul Proyek</w:t>
      </w:r>
    </w:p>
    <w:p>
      <w:r>
        <w:rPr>
          <w:b/>
        </w:rPr>
        <w:t>CaffiSense: Smart Caffeine Metabolism Tracker &amp; Circadian Health Optimizer with Machine Learning and Interactive 3D Organ Anatomy Visualization.</w:t>
        <w:br/>
      </w:r>
      <w:r>
        <w:t>(Asisten Kesehatan Sirkadian &amp; Pemantau Metabolisme Kafein Cerdas Berbasis Machine Learning, Generative AI, dan Visualisasi Anatomi Organ 3D)</w:t>
      </w:r>
    </w:p>
    <w:p>
      <w:pPr>
        <w:keepNext/>
        <w:spacing w:before="280" w:after="80"/>
      </w:pPr>
      <w:r>
        <w:rPr>
          <w:rFonts w:ascii="Calibri" w:hAnsi="Calibri"/>
          <w:b/>
          <w:color w:val="4F46E5"/>
          <w:sz w:val="26"/>
        </w:rPr>
        <w:t xml:space="preserve">2. </w:t>
      </w:r>
      <w:r>
        <w:rPr>
          <w:rFonts w:ascii="Calibri" w:hAnsi="Calibri"/>
          <w:b/>
          <w:color w:val="0F172A"/>
          <w:sz w:val="26"/>
        </w:rPr>
        <w:t>Informasi Tim</w:t>
      </w:r>
    </w:p>
    <w:tbl>
      <w:tblPr>
        <w:tblW w:type="auto" w:w="0"/>
        <w:jc w:val="center"/>
        <w:tblLook w:firstColumn="1" w:firstRow="1" w:lastColumn="0" w:lastRow="0" w:noHBand="0" w:noVBand="1" w:val="04A0"/>
      </w:tblPr>
      <w:tblGrid>
        <w:gridCol w:w="3168"/>
        <w:gridCol w:w="6192"/>
      </w:tblGrid>
      <w:tr>
        <w:tc>
          <w:tcPr>
            <w:tcW w:type="dxa" w:w="4680"/>
            <w:shd w:fill="F8FAFC"/>
            <w:tcMar>
              <w:top w:w="100" w:type="dxa"/>
              <w:bottom w:w="100" w:type="dxa"/>
              <w:left w:w="140" w:type="dxa"/>
              <w:right w:w="140" w:type="dxa"/>
            </w:tcMar>
          </w:tcPr>
          <w:p>
            <w:r>
              <w:rPr>
                <w:b/>
                <w:sz w:val="20"/>
              </w:rPr>
              <w:t>Nama Tim</w:t>
            </w:r>
          </w:p>
        </w:tc>
        <w:tc>
          <w:tcPr>
            <w:tcW w:type="dxa" w:w="4680"/>
            <w:tcMar>
              <w:top w:w="100" w:type="dxa"/>
              <w:bottom w:w="100" w:type="dxa"/>
              <w:left w:w="140" w:type="dxa"/>
              <w:right w:w="140" w:type="dxa"/>
            </w:tcMar>
          </w:tcPr>
          <w:p>
            <w:r>
              <w:rPr>
                <w:sz w:val="20"/>
              </w:rPr>
              <w:t>Tim CaffiSense</w:t>
            </w:r>
          </w:p>
        </w:tc>
      </w:tr>
      <w:tr>
        <w:tc>
          <w:tcPr>
            <w:tcW w:type="dxa" w:w="4680"/>
            <w:shd w:fill="F8FAFC"/>
            <w:tcMar>
              <w:top w:w="100" w:type="dxa"/>
              <w:bottom w:w="100" w:type="dxa"/>
              <w:left w:w="140" w:type="dxa"/>
              <w:right w:w="140" w:type="dxa"/>
            </w:tcMar>
          </w:tcPr>
          <w:p>
            <w:r>
              <w:rPr>
                <w:b/>
                <w:sz w:val="20"/>
              </w:rPr>
              <w:t>Institusi / Universitas</w:t>
            </w:r>
          </w:p>
        </w:tc>
        <w:tc>
          <w:tcPr>
            <w:tcW w:type="dxa" w:w="4680"/>
            <w:tcMar>
              <w:top w:w="100" w:type="dxa"/>
              <w:bottom w:w="100" w:type="dxa"/>
              <w:left w:w="140" w:type="dxa"/>
              <w:right w:w="140" w:type="dxa"/>
            </w:tcMar>
          </w:tcPr>
          <w:p>
            <w:r>
              <w:rPr>
                <w:sz w:val="20"/>
              </w:rPr>
              <w:t>Universitas Negeri Surabaya (UNESA)</w:t>
            </w:r>
          </w:p>
        </w:tc>
      </w:tr>
      <w:tr>
        <w:tc>
          <w:tcPr>
            <w:tcW w:type="dxa" w:w="4680"/>
            <w:shd w:fill="F8FAFC"/>
            <w:tcMar>
              <w:top w:w="100" w:type="dxa"/>
              <w:bottom w:w="100" w:type="dxa"/>
              <w:left w:w="140" w:type="dxa"/>
              <w:right w:w="140" w:type="dxa"/>
            </w:tcMar>
          </w:tcPr>
          <w:p>
            <w:r>
              <w:rPr>
                <w:b/>
                <w:sz w:val="20"/>
              </w:rPr>
              <w:t>Ketua Tim</w:t>
            </w:r>
          </w:p>
        </w:tc>
        <w:tc>
          <w:tcPr>
            <w:tcW w:type="dxa" w:w="4680"/>
            <w:tcMar>
              <w:top w:w="100" w:type="dxa"/>
              <w:bottom w:w="100" w:type="dxa"/>
              <w:left w:w="140" w:type="dxa"/>
              <w:right w:w="140" w:type="dxa"/>
            </w:tcMar>
          </w:tcPr>
          <w:p>
            <w:r>
              <w:rPr>
                <w:sz w:val="20"/>
              </w:rPr>
              <w:t>Arfian Pratama (arfian.23001@mhs.unesa.ac.id)</w:t>
            </w:r>
          </w:p>
        </w:tc>
      </w:tr>
      <w:tr>
        <w:tc>
          <w:tcPr>
            <w:tcW w:type="dxa" w:w="4680"/>
            <w:shd w:fill="F8FAFC"/>
            <w:tcMar>
              <w:top w:w="100" w:type="dxa"/>
              <w:bottom w:w="100" w:type="dxa"/>
              <w:left w:w="140" w:type="dxa"/>
              <w:right w:w="140" w:type="dxa"/>
            </w:tcMar>
          </w:tcPr>
          <w:p>
            <w:r>
              <w:rPr>
                <w:b/>
                <w:sz w:val="20"/>
              </w:rPr>
              <w:t>Anggota Tim</w:t>
            </w:r>
          </w:p>
        </w:tc>
        <w:tc>
          <w:tcPr>
            <w:tcW w:type="dxa" w:w="4680"/>
            <w:tcMar>
              <w:top w:w="100" w:type="dxa"/>
              <w:bottom w:w="100" w:type="dxa"/>
              <w:left w:w="140" w:type="dxa"/>
              <w:right w:w="140" w:type="dxa"/>
            </w:tcMar>
          </w:tcPr>
          <w:p>
            <w:r>
              <w:rPr>
                <w:sz w:val="20"/>
              </w:rPr>
              <w:t>1. Anggota 1 (NIM)</w:t>
              <w:br/>
              <w:t>2. Anggota 2 (NIM)</w:t>
            </w:r>
          </w:p>
        </w:tc>
      </w:tr>
      <w:tr>
        <w:tc>
          <w:tcPr>
            <w:tcW w:type="dxa" w:w="4680"/>
            <w:shd w:fill="F8FAFC"/>
            <w:tcMar>
              <w:top w:w="100" w:type="dxa"/>
              <w:bottom w:w="100" w:type="dxa"/>
              <w:left w:w="140" w:type="dxa"/>
              <w:right w:w="140" w:type="dxa"/>
            </w:tcMar>
          </w:tcPr>
          <w:p>
            <w:r>
              <w:rPr>
                <w:b/>
                <w:sz w:val="20"/>
              </w:rPr>
              <w:t>Dosen Pembimbing</w:t>
            </w:r>
          </w:p>
        </w:tc>
        <w:tc>
          <w:tcPr>
            <w:tcW w:type="dxa" w:w="4680"/>
            <w:tcMar>
              <w:top w:w="100" w:type="dxa"/>
              <w:bottom w:w="100" w:type="dxa"/>
              <w:left w:w="140" w:type="dxa"/>
              <w:right w:w="140" w:type="dxa"/>
            </w:tcMar>
          </w:tcPr>
          <w:p>
            <w:r>
              <w:rPr>
                <w:sz w:val="20"/>
              </w:rPr>
              <w:t>Dosen Pembimbing, S.Kom., M.Kom.</w:t>
            </w:r>
          </w:p>
        </w:tc>
      </w:tr>
    </w:tbl>
    <w:p>
      <w:pPr>
        <w:spacing w:after="120"/>
      </w:pPr>
    </w:p>
    <w:p>
      <w:pPr>
        <w:keepNext/>
        <w:spacing w:before="280" w:after="80"/>
      </w:pPr>
      <w:r>
        <w:rPr>
          <w:rFonts w:ascii="Calibri" w:hAnsi="Calibri"/>
          <w:b/>
          <w:color w:val="4F46E5"/>
          <w:sz w:val="26"/>
        </w:rPr>
        <w:t xml:space="preserve">3. </w:t>
      </w:r>
      <w:r>
        <w:rPr>
          <w:rFonts w:ascii="Calibri" w:hAnsi="Calibri"/>
          <w:b/>
          <w:color w:val="0F172A"/>
          <w:sz w:val="26"/>
        </w:rPr>
        <w:t>Latar Belakang</w:t>
      </w:r>
    </w:p>
    <w:p>
      <w:r>
        <w:t>Konsumsi kopi telah bertransformasi dari sekadar minuman harian menjadi bagian gaya hidup dan penggerak produktivitas utama bagi kalangan mahasiswa, pekerja profesional, hingga atlet di Indonesia maupun dunia. Data International Coffee Organization (ICO) mencatat peningkatan konsumsi kopi domestik di Indonesia yang sangat signifikan dalam lima tahun terakhir seiring maraknya budaya kedai kopi modern.</w:t>
      </w:r>
    </w:p>
    <w:p>
      <w:r>
        <w:t>Namun, di balik manfaat peningkatan kewaspadaan dan konsentrasi sesaat, kurangnya pemahaman masyarakat mengenai farmakokinetik kafein—khususnya waktu paruh eliminasi kafein (caffeine half-life) yang berkisar 5 hingga 7 jam—memicu fenomena krisis kesehatan sirkadian yang meluas:</w:t>
      </w:r>
    </w:p>
    <w:p>
      <w:pPr>
        <w:pStyle w:val="ListBullet"/>
      </w:pPr>
      <w:r>
        <w:rPr>
          <w:b/>
        </w:rPr>
        <w:t xml:space="preserve">Insomnia &amp; Penurunan Kualitas Tidur Restoratif: </w:t>
      </w:r>
      <w:r>
        <w:t>Konsumsi kafein di sore atau malam hari memblokir reseptor adenosin di otak, sehingga menghambat fase tidur dalam (Deep Sleep) dan fase REM yang esensial bagi pemulihan sel otak.</w:t>
      </w:r>
    </w:p>
    <w:p>
      <w:pPr>
        <w:pStyle w:val="ListBullet"/>
      </w:pPr>
      <w:r>
        <w:rPr>
          <w:b/>
        </w:rPr>
        <w:t xml:space="preserve">Dehidrasi Tingkat Seluler: </w:t>
      </w:r>
      <w:r>
        <w:t>Kafein memiliki sifat diuretik ringan yang merangsang ginjal mempercepat pembuangan cairan tubuh. Kebiasaan minum kopi tanpa diimbangi asupan air putih yang cukup sering memicu sakit kepala saat bangun tidur, kelelahan kronis (caffeine crash), dan beban filtrasi ginjal berlebih.</w:t>
      </w:r>
    </w:p>
    <w:p>
      <w:pPr>
        <w:pStyle w:val="ListBullet"/>
      </w:pPr>
      <w:r>
        <w:rPr>
          <w:b/>
        </w:rPr>
        <w:t xml:space="preserve">Iritasi Mukosa Lambung &amp; GERD: </w:t>
      </w:r>
      <w:r>
        <w:t>Kebiasaan mengonsumsi kopi dalam kondisi perut kosong (fasting state) memicu hipersekresi asam hidroklorida (HCl) lambung secara agresif, mempercepat laju penyerapan kafein hingga 2 kali lipat, dan memicu dispepsia serta palpitasi jantung (denyut berdebar kencang).</w:t>
      </w:r>
    </w:p>
    <w:p>
      <w:r>
        <w:t>Aplikasi pelacak kesehatan yang beredar saat ini umumnya hanya menghitung kalori makanan secara generik, tanpa memberikan simulasi farmakokinetik waktu nyata, evaluasi komprehensif terhadap organ tubuh, maupun integrasi kecerdasan buatan klinis yang dapat memberikan panduan pencegahan secara personal.</w:t>
      </w:r>
    </w:p>
    <w:p>
      <w:pPr>
        <w:keepNext/>
        <w:spacing w:before="280" w:after="80"/>
      </w:pPr>
      <w:r>
        <w:rPr>
          <w:rFonts w:ascii="Calibri" w:hAnsi="Calibri"/>
          <w:b/>
          <w:color w:val="4F46E5"/>
          <w:sz w:val="26"/>
        </w:rPr>
        <w:t xml:space="preserve">4. </w:t>
      </w:r>
      <w:r>
        <w:rPr>
          <w:rFonts w:ascii="Calibri" w:hAnsi="Calibri"/>
          <w:b/>
          <w:color w:val="0F172A"/>
          <w:sz w:val="26"/>
        </w:rPr>
        <w:t>Identifikasi Masalah</w:t>
      </w:r>
    </w:p>
    <w:p>
      <w:pPr>
        <w:pStyle w:val="ListBullet"/>
      </w:pPr>
      <w:r>
        <w:rPr>
          <w:b/>
        </w:rPr>
        <w:t xml:space="preserve">Ketiadaan Visibilitas Kadar Kafein Aktif: </w:t>
      </w:r>
      <w:r>
        <w:t>Masyarakat tidak mengetahui berapa miligram (mg) kafein yang masih bersirkulasi dalam aliran darah mereka saat mendekati jam tidur malam.</w:t>
      </w:r>
    </w:p>
    <w:p>
      <w:pPr>
        <w:pStyle w:val="ListBullet"/>
      </w:pPr>
      <w:r>
        <w:rPr>
          <w:b/>
        </w:rPr>
        <w:t xml:space="preserve">Pengabaian Hubungan Kafein, Makanan, dan Hidrasi: </w:t>
      </w:r>
      <w:r>
        <w:t>Belum adanya sistem kesehatan digital yang mengkorelasikan status perut (sudah makan vs perut kosong) serta asupan air putih harian terhadap tingkat beban lambung dan ginjal.</w:t>
      </w:r>
    </w:p>
    <w:p>
      <w:pPr>
        <w:pStyle w:val="ListBullet"/>
      </w:pPr>
      <w:r>
        <w:rPr>
          <w:b/>
        </w:rPr>
        <w:t xml:space="preserve">Literasi Medis yang Bersifat Abstrak: </w:t>
      </w:r>
      <w:r>
        <w:t>Edukasi mengenai dampak kafein pada organ tubuh sering disajikan dalam istilah teks medis yang kaku, sehingga masyarakat awam kesulitan memahami beban biologis pada organ vital seperti jantung, hati, lambung, dan ginjal.</w:t>
      </w:r>
    </w:p>
    <w:p>
      <w:pPr>
        <w:pStyle w:val="ListBullet"/>
      </w:pPr>
      <w:r>
        <w:rPr>
          <w:b/>
        </w:rPr>
        <w:t xml:space="preserve">Keterlambatan Deteksi Gangguan Sirkadian: </w:t>
      </w:r>
      <w:r>
        <w:t>Pengguna umumnya baru menyadari terjadinya kelelahan kronis (chronic fatigue/burnout) setelah mengalami akumulasi gangguan tidur selama berminggu-minggu tanpa adanya pemantauan berbasis siklus (milestone tracking).</w:t>
      </w:r>
    </w:p>
    <w:p>
      <w:pPr>
        <w:keepNext/>
        <w:spacing w:before="280" w:after="80"/>
      </w:pPr>
      <w:r>
        <w:rPr>
          <w:rFonts w:ascii="Calibri" w:hAnsi="Calibri"/>
          <w:b/>
          <w:color w:val="4F46E5"/>
          <w:sz w:val="26"/>
        </w:rPr>
        <w:t xml:space="preserve">5. </w:t>
      </w:r>
      <w:r>
        <w:rPr>
          <w:rFonts w:ascii="Calibri" w:hAnsi="Calibri"/>
          <w:b/>
          <w:color w:val="0F172A"/>
          <w:sz w:val="26"/>
        </w:rPr>
        <w:t>Solusi yang Diusulkan</w:t>
      </w:r>
    </w:p>
    <w:p>
      <w:r>
        <w:t>Untuk menjawab tantangan tersebut, kami mengembangkan CaffiSense, sebuah platform kesehatan digital cerdas terpadu yang menggabungkan prinsip farmakokinetik medis, Machine Learning, Generative AI (Large Language Model), dan visualisasi interaktif anatomi 3D:</w:t>
      </w:r>
    </w:p>
    <w:p>
      <w:pPr>
        <w:pStyle w:val="ListBullet"/>
      </w:pPr>
      <w:r>
        <w:rPr>
          <w:b/>
        </w:rPr>
        <w:t xml:space="preserve">Real-Time Pharmacokinetic Decay Engine: </w:t>
      </w:r>
      <w:r>
        <w:t>Simulasi komputasi peluruhan kadar kafein darah per 10 menit selama 14 jam ke depan berdasarkan waktu minum terakhir, jumlah cangkir, dan batas aman FDA (400 mg).</w:t>
      </w:r>
    </w:p>
    <w:p>
      <w:pPr>
        <w:pStyle w:val="ListBullet"/>
      </w:pPr>
      <w:r>
        <w:rPr>
          <w:b/>
        </w:rPr>
        <w:t xml:space="preserve">Model Machine Learning Prediktif (FastAPI Microservice): </w:t>
      </w:r>
      <w:r>
        <w:t>Algoritma Machine Learning (Random Forest &amp; Scikit-Learn) yang menghitung probabilitas risiko gangguan tidur (Sleep Disruption Probability Score) secara real-time.</w:t>
      </w:r>
    </w:p>
    <w:p>
      <w:pPr>
        <w:pStyle w:val="ListBullet"/>
      </w:pPr>
      <w:r>
        <w:rPr>
          <w:b/>
        </w:rPr>
        <w:t xml:space="preserve">Generative AI Clinical Insights (Google Gemini LLM): </w:t>
      </w:r>
      <w:r>
        <w:t>Modul kecerdasan buatan berbasis LLM yang menyusun diagnosis klinis 4 kuadran: Analisis Pola Kafein-Makanan-Hidrasi, Dampak Sirkadian &amp; Risiko Organ, Statistik Edukasi Penyakit Riil, dan Rekomendasi Pemulihan Praktis.</w:t>
      </w:r>
    </w:p>
    <w:p>
      <w:pPr>
        <w:pStyle w:val="ListBullet"/>
      </w:pPr>
      <w:r>
        <w:rPr>
          <w:b/>
        </w:rPr>
        <w:t xml:space="preserve">Visualizer Interaktif 11 Organ 3D &amp; 2D: </w:t>
      </w:r>
      <w:r>
        <w:t>Pemetaan beban fisiologis organ secara visual interaktif menggunakan model 3D medis (BioDigital Human Platform) untuk 11 organ: Otak, Jantung, Lambung, Ginjal, Hati, Usus, Otot, Kandung Kemih, Paru-paru, Mata, dan Kelenjar Adrenal.</w:t>
      </w:r>
    </w:p>
    <w:p>
      <w:pPr>
        <w:pStyle w:val="ListBullet"/>
      </w:pPr>
      <w:r>
        <w:rPr>
          <w:b/>
        </w:rPr>
        <w:t xml:space="preserve">Siklus Evaluasi 7 Hari (Milestone Tracking): </w:t>
      </w:r>
      <w:r>
        <w:t>Alur pengisian harian cepat (Hari 1–6) yang terhubung dengan evaluasi puncak komprehensif pola tidur &amp; hidrasi pada Hari ke-7.</w:t>
      </w:r>
    </w:p>
    <w:p>
      <w:pPr>
        <w:keepNext/>
        <w:spacing w:before="280" w:after="80"/>
      </w:pPr>
      <w:r>
        <w:rPr>
          <w:rFonts w:ascii="Calibri" w:hAnsi="Calibri"/>
          <w:b/>
          <w:color w:val="4F46E5"/>
          <w:sz w:val="26"/>
        </w:rPr>
        <w:t xml:space="preserve">6. </w:t>
      </w:r>
      <w:r>
        <w:rPr>
          <w:rFonts w:ascii="Calibri" w:hAnsi="Calibri"/>
          <w:b/>
          <w:color w:val="0F172A"/>
          <w:sz w:val="26"/>
        </w:rPr>
        <w:t>Tujuan Proyek</w:t>
      </w:r>
    </w:p>
    <w:p>
      <w:pPr>
        <w:pStyle w:val="ListBullet"/>
      </w:pPr>
      <w:r>
        <w:rPr>
          <w:b/>
        </w:rPr>
        <w:t xml:space="preserve">Tujuan Kesehatan (Primer): </w:t>
      </w:r>
      <w:r>
        <w:t>Membantu para penikmat kopi menjaga kualitas tidur restoratif dan mencegah penyakit lambung/jantung tanpa harus menghentikan kebiasaan minum kopi.</w:t>
      </w:r>
    </w:p>
    <w:p>
      <w:pPr>
        <w:pStyle w:val="ListBullet"/>
      </w:pPr>
      <w:r>
        <w:rPr>
          <w:b/>
        </w:rPr>
        <w:t xml:space="preserve">Tujuan Edukatif: </w:t>
      </w:r>
      <w:r>
        <w:t>Meningkatkan literasi kesehatan digital masyarakat terkait batasan dosis kafein harian (maks. 400 mg FDA), pentingnya hidrasi air putih, dan anjuran makan sebelum mengonsumsi stimulan.</w:t>
      </w:r>
    </w:p>
    <w:p>
      <w:pPr>
        <w:pStyle w:val="ListBullet"/>
      </w:pPr>
      <w:r>
        <w:rPr>
          <w:b/>
        </w:rPr>
        <w:t xml:space="preserve">Tujuan Teknologi: </w:t>
      </w:r>
      <w:r>
        <w:t>Mengimplementasikan arsitektur perangkat lunak modern berbasis microservices (Laravel 11 REST API + FastAPI Python + React 18 TypeScript) yang responsif, berkinerja tinggi, dan siap diakses melalui peramban web maupun Progressive Web Apps (PWA).</w:t>
      </w:r>
    </w:p>
    <w:p>
      <w:pPr>
        <w:keepNext/>
        <w:spacing w:before="280" w:after="80"/>
      </w:pPr>
      <w:r>
        <w:rPr>
          <w:rFonts w:ascii="Calibri" w:hAnsi="Calibri"/>
          <w:b/>
          <w:color w:val="4F46E5"/>
          <w:sz w:val="26"/>
        </w:rPr>
        <w:t xml:space="preserve">7. </w:t>
      </w:r>
      <w:r>
        <w:rPr>
          <w:rFonts w:ascii="Calibri" w:hAnsi="Calibri"/>
          <w:b/>
          <w:color w:val="0F172A"/>
          <w:sz w:val="26"/>
        </w:rPr>
        <w:t>Target Pengguna</w:t>
      </w:r>
    </w:p>
    <w:p>
      <w:pPr>
        <w:pStyle w:val="ListBullet"/>
      </w:pPr>
      <w:r>
        <w:rPr>
          <w:b/>
        </w:rPr>
        <w:t xml:space="preserve">Mahasiswa &amp; Pelajar: </w:t>
      </w:r>
      <w:r>
        <w:t>Individu yang kerap mengonsumsi kopi untuk mempertahankan konsentrasi belajar, mengerjakan tugas, atau menghadapi ujian larut malam.</w:t>
      </w:r>
    </w:p>
    <w:p>
      <w:pPr>
        <w:pStyle w:val="ListBullet"/>
      </w:pPr>
      <w:r>
        <w:rPr>
          <w:b/>
        </w:rPr>
        <w:t xml:space="preserve">Pekerja Profesional, Developer &amp; Freelancer: </w:t>
      </w:r>
      <w:r>
        <w:t>Pekerja kantoran atau pekerja shift yang membutuhkan kafein sebagai pendorong produktivitas harian.</w:t>
      </w:r>
    </w:p>
    <w:p>
      <w:pPr>
        <w:pStyle w:val="ListBullet"/>
      </w:pPr>
      <w:r>
        <w:rPr>
          <w:b/>
        </w:rPr>
        <w:t xml:space="preserve">Komunitas Penikmat Kopi (Coffee Enthusiasts): </w:t>
      </w:r>
      <w:r>
        <w:t>Peminum kopi seduhan spesialti (espresso, manual brew, latte) yang ingin memantau akumulasi kafein agar tetap dalam ambang batas sehat.</w:t>
      </w:r>
    </w:p>
    <w:p>
      <w:pPr>
        <w:pStyle w:val="ListBullet"/>
      </w:pPr>
      <w:r>
        <w:rPr>
          <w:b/>
        </w:rPr>
        <w:t xml:space="preserve">Individu Sensitif Kafein &amp; Penderita Dispepsia/GERD: </w:t>
      </w:r>
      <w:r>
        <w:t>Masyarakat yang rentan mengalami asam lambung naik, pusing, atau jantung berdebar saat mengonsumsi minuman berkafein.</w:t>
      </w:r>
    </w:p>
    <w:p>
      <w:pPr>
        <w:keepNext/>
        <w:spacing w:before="280" w:after="80"/>
      </w:pPr>
      <w:r>
        <w:rPr>
          <w:rFonts w:ascii="Calibri" w:hAnsi="Calibri"/>
          <w:b/>
          <w:color w:val="4F46E5"/>
          <w:sz w:val="26"/>
        </w:rPr>
        <w:t xml:space="preserve">8. </w:t>
      </w:r>
      <w:r>
        <w:rPr>
          <w:rFonts w:ascii="Calibri" w:hAnsi="Calibri"/>
          <w:b/>
          <w:color w:val="0F172A"/>
          <w:sz w:val="26"/>
        </w:rPr>
        <w:t>Fitur Utama Sistem</w:t>
      </w:r>
    </w:p>
    <w:tbl>
      <w:tblPr>
        <w:tblW w:type="auto" w:w="0"/>
        <w:jc w:val="center"/>
        <w:tblLook w:firstColumn="1" w:firstRow="1" w:lastColumn="0" w:lastRow="0" w:noHBand="0" w:noVBand="1" w:val="04A0"/>
      </w:tblPr>
      <w:tblGrid>
        <w:gridCol w:w="3168"/>
        <w:gridCol w:w="6192"/>
      </w:tblGrid>
      <w:tr>
        <w:tc>
          <w:tcPr>
            <w:tcW w:type="dxa" w:w="4680"/>
            <w:shd w:fill="4F46E5"/>
            <w:tcMar>
              <w:top w:w="120" w:type="dxa"/>
              <w:bottom w:w="120" w:type="dxa"/>
              <w:left w:w="150" w:type="dxa"/>
              <w:right w:w="150" w:type="dxa"/>
            </w:tcMar>
          </w:tcPr>
          <w:p>
            <w:r>
              <w:rPr>
                <w:b/>
                <w:color w:val="FFFFFF"/>
              </w:rPr>
              <w:t>Modul Fitur</w:t>
            </w:r>
          </w:p>
        </w:tc>
        <w:tc>
          <w:tcPr>
            <w:tcW w:type="dxa" w:w="4680"/>
            <w:shd w:fill="4F46E5"/>
            <w:tcMar>
              <w:top w:w="120" w:type="dxa"/>
              <w:bottom w:w="120" w:type="dxa"/>
              <w:left w:w="150" w:type="dxa"/>
              <w:right w:w="150" w:type="dxa"/>
            </w:tcMar>
          </w:tcPr>
          <w:p>
            <w:r>
              <w:rPr>
                <w:b/>
                <w:color w:val="FFFFFF"/>
              </w:rPr>
              <w:t>Deskripsi &amp; Keunggulan Fungsional</w:t>
            </w:r>
          </w:p>
        </w:tc>
      </w:tr>
      <w:tr>
        <w:tc>
          <w:tcPr>
            <w:tcW w:type="dxa" w:w="4680"/>
            <w:shd w:fill="F8FAFC"/>
            <w:tcMar>
              <w:top w:w="100" w:type="dxa"/>
              <w:bottom w:w="100" w:type="dxa"/>
              <w:left w:w="120" w:type="dxa"/>
              <w:right w:w="120" w:type="dxa"/>
            </w:tcMar>
          </w:tcPr>
          <w:p>
            <w:r>
              <w:rPr>
                <w:b/>
                <w:sz w:val="19"/>
              </w:rPr>
              <w:t>7-Step Sequential Diagnosis Wizard</w:t>
            </w:r>
          </w:p>
        </w:tc>
        <w:tc>
          <w:tcPr>
            <w:tcW w:type="dxa" w:w="4680"/>
            <w:shd w:fill="F8FAFC"/>
            <w:tcMar>
              <w:top w:w="100" w:type="dxa"/>
              <w:bottom w:w="100" w:type="dxa"/>
              <w:left w:w="120" w:type="dxa"/>
              <w:right w:w="120" w:type="dxa"/>
            </w:tcMar>
          </w:tcPr>
          <w:p>
            <w:r>
              <w:rPr>
                <w:sz w:val="19"/>
              </w:rPr>
              <w:t>Formulir 7 langkah berurutan yang fokus dan terstruktur:</w:t>
              <w:br/>
              <w:t>• Langkah 1: Konsumsi Kopi (Takaran cangkir, ukuran porsi, tanggal sesi, jam ngopi terakhir).</w:t>
              <w:br/>
              <w:t>• Langkah 2: Kondisi Perut &amp; Makan (Sudah Makan vs Belum Makan (Perut Kosong) &amp; Jam Makan Terakhir).</w:t>
              <w:br/>
              <w:t>• Langkah 3: Aktivitas Olahraga (Sebelum/Sesudah Kopi dlm Menit vs Tidak Olahraga).</w:t>
              <w:br/>
              <w:t>• Langkah 4: Konsumsi Rokok &amp; Nikotin (Tidak Merokok, 1–5, 6–10, &gt;10 Batang/Hari untuk induksi enzim CYP1A2).</w:t>
              <w:br/>
              <w:t>• Langkah 5: Durasi Tidur Harian (4 Jam s/d 9+ Jam dengan evaluasi mutu otomatis).</w:t>
              <w:br/>
              <w:t>• Langkah 6: Hidrasi Air Putih Harian (500–2.000+ ml) &amp; Kartu Siklus 7 Hari.</w:t>
              <w:br/>
              <w:t>• Langkah 7: Keluhan &amp; Gejala Fisik (Pemilihan gejala cepat/chips &amp; keluhan kualitatif).</w:t>
            </w:r>
          </w:p>
        </w:tc>
      </w:tr>
      <w:tr>
        <w:tc>
          <w:tcPr>
            <w:tcW w:type="dxa" w:w="4680"/>
            <w:shd w:fill="FFFFFF"/>
            <w:tcMar>
              <w:top w:w="100" w:type="dxa"/>
              <w:bottom w:w="100" w:type="dxa"/>
              <w:left w:w="120" w:type="dxa"/>
              <w:right w:w="120" w:type="dxa"/>
            </w:tcMar>
          </w:tcPr>
          <w:p>
            <w:r>
              <w:rPr>
                <w:b/>
                <w:sz w:val="19"/>
              </w:rPr>
              <w:t>Real-Time Caffeine Decay Chart</w:t>
            </w:r>
          </w:p>
        </w:tc>
        <w:tc>
          <w:tcPr>
            <w:tcW w:type="dxa" w:w="4680"/>
            <w:shd w:fill="FFFFFF"/>
            <w:tcMar>
              <w:top w:w="100" w:type="dxa"/>
              <w:bottom w:w="100" w:type="dxa"/>
              <w:left w:w="120" w:type="dxa"/>
              <w:right w:w="120" w:type="dxa"/>
            </w:tcMar>
          </w:tcPr>
          <w:p>
            <w:r>
              <w:rPr>
                <w:sz w:val="19"/>
              </w:rPr>
              <w:t>Simulasi kurva peluruhan kafein interaktif selama 14 jam ke depan dengan garis ambang batas tidur nyenyak (50 mg) dan batas aman harian FDA (400 mg).</w:t>
            </w:r>
          </w:p>
        </w:tc>
      </w:tr>
      <w:tr>
        <w:tc>
          <w:tcPr>
            <w:tcW w:type="dxa" w:w="4680"/>
            <w:shd w:fill="F8FAFC"/>
            <w:tcMar>
              <w:top w:w="100" w:type="dxa"/>
              <w:bottom w:w="100" w:type="dxa"/>
              <w:left w:w="120" w:type="dxa"/>
              <w:right w:w="120" w:type="dxa"/>
            </w:tcMar>
          </w:tcPr>
          <w:p>
            <w:r>
              <w:rPr>
                <w:b/>
                <w:sz w:val="19"/>
              </w:rPr>
              <w:t>Interactive 11-Organ Anatomy Visualizer (3D &amp; 2D)</w:t>
            </w:r>
          </w:p>
        </w:tc>
        <w:tc>
          <w:tcPr>
            <w:tcW w:type="dxa" w:w="4680"/>
            <w:shd w:fill="F8FAFC"/>
            <w:tcMar>
              <w:top w:w="100" w:type="dxa"/>
              <w:bottom w:w="100" w:type="dxa"/>
              <w:left w:w="120" w:type="dxa"/>
              <w:right w:w="120" w:type="dxa"/>
            </w:tcMar>
          </w:tcPr>
          <w:p>
            <w:r>
              <w:rPr>
                <w:sz w:val="19"/>
              </w:rPr>
              <w:t>Visualisasi anatomi organ interaktif berbasis model 3D BioDigital &amp; 2D untuk memetakan beban klinis Otak, Jantung, Lambung, Ginjal, Hati, Usus, Otot, Kandung Kemih, Paru-paru, Mata, dan Adrenal.</w:t>
            </w:r>
          </w:p>
        </w:tc>
      </w:tr>
      <w:tr>
        <w:tc>
          <w:tcPr>
            <w:tcW w:type="dxa" w:w="4680"/>
            <w:shd w:fill="FFFFFF"/>
            <w:tcMar>
              <w:top w:w="100" w:type="dxa"/>
              <w:bottom w:w="100" w:type="dxa"/>
              <w:left w:w="120" w:type="dxa"/>
              <w:right w:w="120" w:type="dxa"/>
            </w:tcMar>
          </w:tcPr>
          <w:p>
            <w:r>
              <w:rPr>
                <w:b/>
                <w:sz w:val="19"/>
              </w:rPr>
              <w:t>Dual AI Engine (ML + Generative LLM)</w:t>
            </w:r>
          </w:p>
        </w:tc>
        <w:tc>
          <w:tcPr>
            <w:tcW w:type="dxa" w:w="4680"/>
            <w:shd w:fill="FFFFFF"/>
            <w:tcMar>
              <w:top w:w="100" w:type="dxa"/>
              <w:bottom w:w="100" w:type="dxa"/>
              <w:left w:w="120" w:type="dxa"/>
              <w:right w:w="120" w:type="dxa"/>
            </w:tcMar>
          </w:tcPr>
          <w:p>
            <w:r>
              <w:rPr>
                <w:sz w:val="19"/>
              </w:rPr>
              <w:t>Integrasi Machine Learning (FastAPI) untuk prediksi probabilitas gangguan tidur dan Google Gemini LLM untuk rekomendasi klinis 4 pilar yang terpersonalisasi.</w:t>
            </w:r>
          </w:p>
        </w:tc>
      </w:tr>
      <w:tr>
        <w:tc>
          <w:tcPr>
            <w:tcW w:type="dxa" w:w="4680"/>
            <w:shd w:fill="F8FAFC"/>
            <w:tcMar>
              <w:top w:w="100" w:type="dxa"/>
              <w:bottom w:w="100" w:type="dxa"/>
              <w:left w:w="120" w:type="dxa"/>
              <w:right w:w="120" w:type="dxa"/>
            </w:tcMar>
          </w:tcPr>
          <w:p>
            <w:r>
              <w:rPr>
                <w:b/>
                <w:sz w:val="19"/>
              </w:rPr>
              <w:t>Ekspor Laporan Medis (PDF &amp; CSV)</w:t>
            </w:r>
          </w:p>
        </w:tc>
        <w:tc>
          <w:tcPr>
            <w:tcW w:type="dxa" w:w="4680"/>
            <w:shd w:fill="F8FAFC"/>
            <w:tcMar>
              <w:top w:w="100" w:type="dxa"/>
              <w:bottom w:w="100" w:type="dxa"/>
              <w:left w:w="120" w:type="dxa"/>
              <w:right w:w="120" w:type="dxa"/>
            </w:tcMar>
          </w:tcPr>
          <w:p>
            <w:r>
              <w:rPr>
                <w:sz w:val="19"/>
              </w:rPr>
              <w:t>Fitur pengunduhan laporan medis resmi format PDF berbasis vektor (jsPDF + autoTable) serta file CSV untuk arsip pribadi atau ditunjukkan ke dokter/ahli gizi.</w:t>
            </w:r>
          </w:p>
        </w:tc>
      </w:tr>
      <w:tr>
        <w:tc>
          <w:tcPr>
            <w:tcW w:type="dxa" w:w="4680"/>
            <w:shd w:fill="FFFFFF"/>
            <w:tcMar>
              <w:top w:w="100" w:type="dxa"/>
              <w:bottom w:w="100" w:type="dxa"/>
              <w:left w:w="120" w:type="dxa"/>
              <w:right w:w="120" w:type="dxa"/>
            </w:tcMar>
          </w:tcPr>
          <w:p>
            <w:r>
              <w:rPr>
                <w:b/>
                <w:sz w:val="19"/>
              </w:rPr>
              <w:t>Long-Term Trend History &amp; Analytics</w:t>
            </w:r>
          </w:p>
        </w:tc>
        <w:tc>
          <w:tcPr>
            <w:tcW w:type="dxa" w:w="4680"/>
            <w:shd w:fill="FFFFFF"/>
            <w:tcMar>
              <w:top w:w="100" w:type="dxa"/>
              <w:bottom w:w="100" w:type="dxa"/>
              <w:left w:w="120" w:type="dxa"/>
              <w:right w:w="120" w:type="dxa"/>
            </w:tcMar>
          </w:tcPr>
          <w:p>
            <w:r>
              <w:rPr>
                <w:sz w:val="19"/>
              </w:rPr>
              <w:t>Pencatatan riwayat komprehensif, grafik perbandingan tren kafein vs durasi tidur dari hari ke hari, pencarian pintar, dan paginasi modern.</w:t>
            </w:r>
          </w:p>
        </w:tc>
      </w:tr>
      <w:tr>
        <w:tc>
          <w:tcPr>
            <w:tcW w:type="dxa" w:w="4680"/>
            <w:shd w:fill="F8FAFC"/>
            <w:tcMar>
              <w:top w:w="100" w:type="dxa"/>
              <w:bottom w:w="100" w:type="dxa"/>
              <w:left w:w="120" w:type="dxa"/>
              <w:right w:w="120" w:type="dxa"/>
            </w:tcMar>
          </w:tcPr>
          <w:p>
            <w:r>
              <w:rPr>
                <w:b/>
                <w:sz w:val="19"/>
              </w:rPr>
              <w:t>Automated Weekly Email Report</w:t>
            </w:r>
          </w:p>
        </w:tc>
        <w:tc>
          <w:tcPr>
            <w:tcW w:type="dxa" w:w="4680"/>
            <w:shd w:fill="F8FAFC"/>
            <w:tcMar>
              <w:top w:w="100" w:type="dxa"/>
              <w:bottom w:w="100" w:type="dxa"/>
              <w:left w:w="120" w:type="dxa"/>
              <w:right w:w="120" w:type="dxa"/>
            </w:tcMar>
          </w:tcPr>
          <w:p>
            <w:r>
              <w:rPr>
                <w:sz w:val="19"/>
              </w:rPr>
              <w:t>Pengiriman otomatis rekapitulasi evaluasi pola hidup mingguan langsung ke kotak masuk email pengguna via Laravel Mail.</w:t>
            </w:r>
          </w:p>
        </w:tc>
      </w:tr>
    </w:tbl>
    <w:p>
      <w:pPr>
        <w:spacing w:after="120"/>
      </w:pPr>
    </w:p>
    <w:p>
      <w:pPr>
        <w:keepNext/>
        <w:spacing w:before="280" w:after="80"/>
      </w:pPr>
      <w:r>
        <w:rPr>
          <w:rFonts w:ascii="Calibri" w:hAnsi="Calibri"/>
          <w:b/>
          <w:color w:val="4F46E5"/>
          <w:sz w:val="26"/>
        </w:rPr>
        <w:t xml:space="preserve">9. </w:t>
      </w:r>
      <w:r>
        <w:rPr>
          <w:rFonts w:ascii="Calibri" w:hAnsi="Calibri"/>
          <w:b/>
          <w:color w:val="0F172A"/>
          <w:sz w:val="26"/>
        </w:rPr>
        <w:t>Kesesuaian dengan Sustainable Development Goals (SDGs)</w:t>
      </w:r>
    </w:p>
    <w:p>
      <w:pPr>
        <w:pStyle w:val="ListBullet"/>
      </w:pPr>
      <w:r>
        <w:rPr>
          <w:b/>
        </w:rPr>
        <w:t xml:space="preserve">SDG 3: Good Health and Well-Being (Kehidupan Sehat &amp; Sejahtera): </w:t>
      </w:r>
      <w:r>
        <w:t>Membantu menekan angka gangguan tidur (insomnia), dispepsia/GERD lambung, dehidrasi kronis, dan risiko kardiovaskular akibat kelebihan kafein secara preventif.</w:t>
      </w:r>
    </w:p>
    <w:p>
      <w:pPr>
        <w:pStyle w:val="ListBullet"/>
      </w:pPr>
      <w:r>
        <w:rPr>
          <w:b/>
        </w:rPr>
        <w:t xml:space="preserve">SDG 4: Quality Education (Pendidikan Berkualitas &amp; Literasi Kesehatan): </w:t>
      </w:r>
      <w:r>
        <w:t>Menyediakan sarana edukasi farmakokinetik kafein dan anatomi tubuh secara visual 3D yang interaktif, ilmiah, dan mudah diakses oleh seluruh lapisan masyarakat.</w:t>
      </w:r>
    </w:p>
    <w:p>
      <w:pPr>
        <w:pStyle w:val="ListBullet"/>
      </w:pPr>
      <w:r>
        <w:rPr>
          <w:b/>
        </w:rPr>
        <w:t xml:space="preserve">SDG 9: Industry, Innovation, and Infrastructure (Industri, Inovasi, &amp; Infrastruktur): </w:t>
      </w:r>
      <w:r>
        <w:t>Menerapkan inovasi teknologi kesehatan modern dengan arsitektur microservices, Machine Learning, dan Generative AI untuk mewujudkan sistem layanan preventif mandiri.</w:t>
      </w:r>
    </w:p>
    <w:p>
      <w:pPr>
        <w:keepNext/>
        <w:spacing w:before="280" w:after="80"/>
      </w:pPr>
      <w:r>
        <w:rPr>
          <w:rFonts w:ascii="Calibri" w:hAnsi="Calibri"/>
          <w:b/>
          <w:color w:val="4F46E5"/>
          <w:sz w:val="26"/>
        </w:rPr>
        <w:t xml:space="preserve">10. </w:t>
      </w:r>
      <w:r>
        <w:rPr>
          <w:rFonts w:ascii="Calibri" w:hAnsi="Calibri"/>
          <w:b/>
          <w:color w:val="0F172A"/>
          <w:sz w:val="26"/>
        </w:rPr>
        <w:t>Inovasi &amp; Nilai Kebaruan</w:t>
      </w:r>
    </w:p>
    <w:p>
      <w:pPr>
        <w:pStyle w:val="ListBullet"/>
      </w:pPr>
      <w:r>
        <w:rPr>
          <w:b/>
        </w:rPr>
        <w:t xml:space="preserve">Korelasi Terpadu Kafein, Kondisi Lambung, dan Hidrasi: </w:t>
      </w:r>
      <w:r>
        <w:t>CaffiSense adalah platform pertama yang memadukan takaran kafein dengan kondisi perut (sudah makan vs perut kosong) dan asupan air putih untuk menghitung absorpsi stimulan secara presisi.</w:t>
      </w:r>
    </w:p>
    <w:p>
      <w:pPr>
        <w:pStyle w:val="ListBullet"/>
      </w:pPr>
      <w:r>
        <w:rPr>
          <w:b/>
        </w:rPr>
        <w:t xml:space="preserve">Visualisasi Anatomi 3D Medis Interaktif: </w:t>
      </w:r>
      <w:r>
        <w:t>Menyediakan model 3D organ tubuh manusia nyata yang dapat diputar 360 derajat dan diinspeksi secara mendalam di setiap sesi diagnosa.</w:t>
      </w:r>
    </w:p>
    <w:p>
      <w:pPr>
        <w:pStyle w:val="ListBullet"/>
      </w:pPr>
      <w:r>
        <w:rPr>
          <w:b/>
        </w:rPr>
        <w:t xml:space="preserve">Dual AI Framework: </w:t>
      </w:r>
      <w:r>
        <w:t>Menggabungkan kecepatan prediksi kuantitatif Machine Learning (FastAPI) dengan kedalaman penjelasan kualitatif Generative AI (Google Gemini LLM).</w:t>
      </w:r>
    </w:p>
    <w:p>
      <w:pPr>
        <w:pStyle w:val="ListBullet"/>
      </w:pPr>
      <w:r>
        <w:rPr>
          <w:b/>
        </w:rPr>
        <w:t xml:space="preserve">Siklus Gamifikasi 7 Hari yang Nyaman: </w:t>
      </w:r>
      <w:r>
        <w:t>Form harian dibuat ringkas (Hari 1–6) dan secara cerdas membuka evaluasi gaya hidup penuh pada Hari ke-7, meningkatkan retensi pengguna tanpa menimbulkan beban pengisian berulang.</w:t>
      </w:r>
    </w:p>
    <w:p>
      <w:pPr>
        <w:pStyle w:val="ListBullet"/>
      </w:pPr>
      <w:r>
        <w:rPr>
          <w:b/>
        </w:rPr>
        <w:t xml:space="preserve">Native Vector PDF Medical Export: </w:t>
      </w:r>
      <w:r>
        <w:t>Menghasilkan laporan PDF medis berstandar tinggi yang bersih dan bebas eror tampilan rendering.</w:t>
      </w:r>
    </w:p>
    <w:p>
      <w:pPr>
        <w:keepNext/>
        <w:spacing w:before="280" w:after="80"/>
      </w:pPr>
      <w:r>
        <w:rPr>
          <w:rFonts w:ascii="Calibri" w:hAnsi="Calibri"/>
          <w:b/>
          <w:color w:val="4F46E5"/>
          <w:sz w:val="26"/>
        </w:rPr>
        <w:t xml:space="preserve">11. </w:t>
      </w:r>
      <w:r>
        <w:rPr>
          <w:rFonts w:ascii="Calibri" w:hAnsi="Calibri"/>
          <w:b/>
          <w:color w:val="0F172A"/>
          <w:sz w:val="26"/>
        </w:rPr>
        <w:t>Potensi Dampak</w:t>
      </w:r>
    </w:p>
    <w:p>
      <w:pPr>
        <w:pStyle w:val="ListBullet"/>
      </w:pPr>
      <w:r>
        <w:rPr>
          <w:b/>
        </w:rPr>
        <w:t xml:space="preserve">Dampak Individu: </w:t>
      </w:r>
      <w:r>
        <w:t>Pengguna memiliki kendali penuh atas ritme sirkadian mereka, menikmati manfaat kopi tanpa mengorbankan kualitas tidur, serta terhindar dari iritasi lambung dan kecemasan.</w:t>
      </w:r>
    </w:p>
    <w:p>
      <w:pPr>
        <w:pStyle w:val="ListBullet"/>
      </w:pPr>
      <w:r>
        <w:rPr>
          <w:b/>
        </w:rPr>
        <w:t xml:space="preserve">Dampak Akademik &amp; Produktivitas: </w:t>
      </w:r>
      <w:r>
        <w:t>Menurunkan tingkat kelelahan kronis (chronic fatigue) dan burnout di kalangan mahasiswa serta tenaga kerja usia produktif.</w:t>
      </w:r>
    </w:p>
    <w:p>
      <w:pPr>
        <w:pStyle w:val="ListBullet"/>
      </w:pPr>
      <w:r>
        <w:rPr>
          <w:b/>
        </w:rPr>
        <w:t xml:space="preserve">Dampak Ekosistem Kesehatan: </w:t>
      </w:r>
      <w:r>
        <w:t>Menjadi alat skrining mandiri berbasis preventif yang membantu meringankan beban fasilitas kesehatan melalui deteksi dini pola hidup tidak sehat.</w:t>
      </w:r>
    </w:p>
    <w:p>
      <w:pPr>
        <w:keepNext/>
        <w:spacing w:before="280" w:after="80"/>
      </w:pPr>
      <w:r>
        <w:rPr>
          <w:rFonts w:ascii="Calibri" w:hAnsi="Calibri"/>
          <w:b/>
          <w:color w:val="4F46E5"/>
          <w:sz w:val="26"/>
        </w:rPr>
        <w:t xml:space="preserve">12. </w:t>
      </w:r>
      <w:r>
        <w:rPr>
          <w:rFonts w:ascii="Calibri" w:hAnsi="Calibri"/>
          <w:b/>
          <w:color w:val="0F172A"/>
          <w:sz w:val="26"/>
        </w:rPr>
        <w:t>Metodologi Pengembangan Sistem</w:t>
      </w:r>
    </w:p>
    <w:p>
      <w:r>
        <w:t>Pengembangan CaffiSense menggunakan pendekatan Agile Development Framework (Scrum) yang terbagi dalam siklus sprint iteratif:</w:t>
      </w:r>
    </w:p>
    <w:p>
      <w:pPr>
        <w:pStyle w:val="ListBullet"/>
      </w:pPr>
      <w:r>
        <w:rPr>
          <w:b/>
        </w:rPr>
        <w:t xml:space="preserve">1. Analisis Kebutuhan &amp; Riset Medis: </w:t>
      </w:r>
      <w:r>
        <w:t>Mengkaji literatur ilmiah farmakokinetik kafein (FDA, EFSA, PubMed) dan merancang skema relasi data.</w:t>
      </w:r>
    </w:p>
    <w:p>
      <w:pPr>
        <w:pStyle w:val="ListBullet"/>
      </w:pPr>
      <w:r>
        <w:rPr>
          <w:b/>
        </w:rPr>
        <w:t xml:space="preserve">2. Perancangan UI/UX &amp; Arsitektur Sistem: </w:t>
      </w:r>
      <w:r>
        <w:t>Mendesain alur antarmuka yang bersih, responsif, dan menyusun arsitektur microservices terdistribusi.</w:t>
      </w:r>
    </w:p>
    <w:p>
      <w:pPr>
        <w:pStyle w:val="ListBullet"/>
      </w:pPr>
      <w:r>
        <w:rPr>
          <w:b/>
        </w:rPr>
        <w:t xml:space="preserve">3. Pengembangan Backend &amp; Database: </w:t>
      </w:r>
      <w:r>
        <w:t>Membangun REST API menggunakan Laravel 11, otentikasi Sanctum, dan skema database relasional MySQL.</w:t>
      </w:r>
    </w:p>
    <w:p>
      <w:pPr>
        <w:pStyle w:val="ListBullet"/>
      </w:pPr>
      <w:r>
        <w:rPr>
          <w:b/>
        </w:rPr>
        <w:t xml:space="preserve">4. Pengembangan Machine Learning Service: </w:t>
      </w:r>
      <w:r>
        <w:t>Membangun microservice FastAPI Python, melatih model prediktif Scikit-Learn, dan integrasi Google Gemini API.</w:t>
      </w:r>
    </w:p>
    <w:p>
      <w:pPr>
        <w:pStyle w:val="ListBullet"/>
      </w:pPr>
      <w:r>
        <w:rPr>
          <w:b/>
        </w:rPr>
        <w:t xml:space="preserve">5. Pengembangan Frontend &amp; Integrasi 3D: </w:t>
      </w:r>
      <w:r>
        <w:t>Membangun antarmuka React TypeScript dengan Tailwind CSS, Recharts, dan komponen BioDigital 3D Canvas.</w:t>
      </w:r>
    </w:p>
    <w:p>
      <w:pPr>
        <w:pStyle w:val="ListBullet"/>
      </w:pPr>
      <w:r>
        <w:rPr>
          <w:b/>
        </w:rPr>
        <w:t xml:space="preserve">6. Pengujian, Validasi, &amp; Evaluasi: </w:t>
      </w:r>
      <w:r>
        <w:t>Melakukan pengujian fungsionalitas menyeluruh, pengujian responsivitas perangkat, dan validasi akurasi laporan PDF/CSV.</w:t>
      </w:r>
    </w:p>
    <w:p>
      <w:pPr>
        <w:keepNext/>
        <w:spacing w:before="280" w:after="80"/>
      </w:pPr>
      <w:r>
        <w:rPr>
          <w:rFonts w:ascii="Calibri" w:hAnsi="Calibri"/>
          <w:b/>
          <w:color w:val="4F46E5"/>
          <w:sz w:val="26"/>
        </w:rPr>
        <w:t xml:space="preserve">13. </w:t>
      </w:r>
      <w:r>
        <w:rPr>
          <w:rFonts w:ascii="Calibri" w:hAnsi="Calibri"/>
          <w:b/>
          <w:color w:val="0F172A"/>
          <w:sz w:val="26"/>
        </w:rPr>
        <w:t>Referensi &amp; Landasan Ilmiah</w:t>
      </w:r>
    </w:p>
    <w:p>
      <w:pPr>
        <w:pStyle w:val="ListBullet"/>
      </w:pPr>
      <w:r>
        <w:t>U.S. Food and Drug Administration (FDA). (2023). Spilling the Beans: How Much Caffeine is Too Much? FDA Consumer Health Information.</w:t>
      </w:r>
    </w:p>
    <w:p>
      <w:pPr>
        <w:pStyle w:val="ListBullet"/>
      </w:pPr>
      <w:r>
        <w:t>European Food Safety Authority (EFSA). (2015). Scientific Opinion on the Safety of Caffeine. EFSA Journal, 13(5), 4102.</w:t>
      </w:r>
    </w:p>
    <w:p>
      <w:pPr>
        <w:pStyle w:val="ListBullet"/>
      </w:pPr>
      <w:r>
        <w:t>Nehlig, A. (2018). Interindividual Differences in Caffeine Metabolism and Factors Driving Caffeine Consumption. Pharmacological Reviews, 70(2), 384-411.</w:t>
      </w:r>
    </w:p>
    <w:p>
      <w:pPr>
        <w:pStyle w:val="ListBullet"/>
      </w:pPr>
      <w:r>
        <w:t>National Sleep Foundation. (2022). How Caffeine Affects Sleep Quality and Circadian Rhythm. Sleep Health Clinical Guidelines.</w:t>
      </w:r>
    </w:p>
    <w:p>
      <w:pPr>
        <w:pStyle w:val="ListBullet"/>
      </w:pPr>
      <w:r>
        <w:t>Fredholm, B. B., Bättig, K., Holmén, J., Nehlig, A., &amp; Zvartau, E. E. (1999). Actions of Caffeine in the Brain with Special Reference to Factors That Contribute to Its Widespread Use. Pharmacological Reviews, 51(1), 83-133.</w:t>
      </w:r>
    </w:p>
    <w:p>
      <w:pPr>
        <w:pStyle w:val="ListBullet"/>
      </w:pPr>
      <w:r>
        <w:t>World Health Organization (WHO). (2020). Global Strategy on Digital Health 2020-2025. Geneva: World Health Organization.</w:t>
      </w:r>
    </w:p>
    <w:p>
      <w:pPr>
        <w:pStyle w:val="ListBullet"/>
      </w:pPr>
      <w:r>
        <w:t>Drake, C., Roehrs, T., Shambroom, J., &amp; Roth, T. (2013). Caffeine Effects on Sleep Taken 0, 3, or 6 Hours Before Going to Bed. Journal of Clinical Sleep Medicine, 9(11), 1195-1200.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