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20" w:before="240"/>
      </w:pPr>
      <w:r>
        <w:drawing>
          <wp:inline distT="0" distB="0" distL="0" distR="0">
            <wp:extent cx="1866900"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866900" cy="514350"/>
                    </a:xfrm>
                    <a:prstGeom prst="rect">
                      <a:avLst/>
                    </a:prstGeom>
                  </pic:spPr>
                </pic:pic>
              </a:graphicData>
            </a:graphic>
          </wp:inline>
        </w:drawing>
      </w:r>
    </w:p>
    <w:p>
      <w:pPr>
        <w:spacing w:after="120"/>
      </w:pPr>
      <w:r>
        <w:rPr>
          <w:rFonts w:ascii="Montserrat" w:cs="Montserrat" w:eastAsia="Montserrat" w:hAnsi="Montserrat"/>
          <w:b/>
          <w:bCs/>
          <w:i w:val="false"/>
          <w:iCs w:val="false"/>
          <w:caps/>
          <w:color w:val="C99A52"/>
          <w:spacing w:val="40"/>
          <w:sz w:val="20"/>
          <w:szCs w:val="20"/>
        </w:rPr>
        <w:t xml:space="preserve">ALM RUNBOOK</w:t>
      </w:r>
    </w:p>
    <w:p>
      <w:pPr>
        <w:spacing w:after="60"/>
      </w:pPr>
      <w:r>
        <w:rPr>
          <w:rFonts w:ascii="Montserrat" w:cs="Montserrat" w:eastAsia="Montserrat" w:hAnsi="Montserrat"/>
          <w:b/>
          <w:bCs/>
          <w:i w:val="false"/>
          <w:iCs w:val="false"/>
          <w:caps w:val="false"/>
          <w:color w:val="05132A"/>
          <w:sz w:val="52"/>
          <w:szCs w:val="52"/>
        </w:rPr>
        <w:t xml:space="preserve">ALM &amp; Deployment Runbook</w:t>
      </w:r>
    </w:p>
    <w:p>
      <w:pPr>
        <w:spacing w:after="60"/>
      </w:pPr>
    </w:p>
    <w:p>
      <w:pPr>
        <w:pBdr>
          <w:bottom w:val="single" w:color="C99A52" w:sz="12" w:space="8"/>
        </w:pBdr>
        <w:spacing w:after="460" w:line="300"/>
      </w:pPr>
      <w:r>
        <w:rPr>
          <w:rFonts w:ascii="Inter" w:cs="Inter" w:eastAsia="Inter" w:hAnsi="Inter"/>
          <w:b w:val="false"/>
          <w:bCs w:val="false"/>
          <w:i/>
          <w:iCs/>
          <w:caps w:val="false"/>
          <w:color w:val="8A9099"/>
          <w:sz w:val="23"/>
          <w:szCs w:val="23"/>
        </w:rPr>
        <w:t xml:space="preserve">Step-by-step build-to-live promotion, versioning and rollback for the grant solution.</w:t>
      </w:r>
    </w:p>
    <w:tbl>
      <w:tblPr>
        <w:tblW w:type="dxa" w:w="9026"/>
        <w:tblBorders>
          <w:top w:val="none" w:color="FFFFFF" w:sz="0"/>
          <w:left w:val="none" w:color="FFFFFF" w:sz="0"/>
          <w:bottom w:val="none" w:color="FFFFFF" w:sz="0"/>
          <w:right w:val="none" w:color="FFFFFF" w:sz="0"/>
          <w:insideH w:val="single" w:color="D9DDE3" w:sz="3"/>
          <w:insideV w:val="none" w:color="FFFFFF" w:sz="0"/>
        </w:tblBorders>
      </w:tblPr>
      <w:tblGrid>
        <w:gridCol w:w="2600"/>
        <w:gridCol w:w="6426"/>
      </w:tblGrid>
      <w:tr>
        <w:tc>
          <w:tcPr>
            <w:tcW w:type="dxa" w:w="2600"/>
            <w:tcMar>
              <w:top w:type="dxa" w:w="70"/>
              <w:left w:type="dxa" w:w="0"/>
              <w:bottom w:type="dxa" w:w="70"/>
              <w:right w:type="dxa" w:w="60"/>
            </w:tcMar>
          </w:tcPr>
          <w:p>
            <w:pPr>
              <w:spacing w:after="0"/>
            </w:pPr>
            <w:r>
              <w:rPr>
                <w:rFonts w:ascii="Montserrat" w:cs="Montserrat" w:eastAsia="Montserrat" w:hAnsi="Montserrat"/>
                <w:b/>
                <w:bCs/>
                <w:i w:val="false"/>
                <w:iCs w:val="false"/>
                <w:caps/>
                <w:color w:val="C99A52"/>
                <w:spacing w:val="24"/>
                <w:sz w:val="15"/>
                <w:szCs w:val="15"/>
              </w:rPr>
              <w:t xml:space="preserve">CLIENT</w:t>
            </w:r>
          </w:p>
        </w:tc>
        <w:tc>
          <w:tcPr>
            <w:tcW w:type="dxa" w:w="6426"/>
            <w:tcMar>
              <w:top w:type="dxa" w:w="70"/>
              <w:left w:type="dxa" w:w="0"/>
              <w:bottom w:type="dxa" w:w="70"/>
              <w:right w:type="dxa" w:w="0"/>
            </w:tcMar>
          </w:tcPr>
          <w:p>
            <w:pPr>
              <w:spacing w:after="0"/>
            </w:pPr>
            <w:r>
              <w:rPr>
                <w:rFonts w:ascii="Inter" w:cs="Inter" w:eastAsia="Inter" w:hAnsi="Inter"/>
                <w:b w:val="false"/>
                <w:bCs w:val="false"/>
                <w:i w:val="false"/>
                <w:iCs w:val="false"/>
                <w:caps w:val="false"/>
                <w:color w:val="05132A"/>
                <w:sz w:val="21"/>
                <w:szCs w:val="21"/>
              </w:rPr>
              <w:t xml:space="preserve">Revitalise</w:t>
            </w:r>
          </w:p>
        </w:tc>
      </w:tr>
      <w:tr>
        <w:tc>
          <w:tcPr>
            <w:tcW w:type="dxa" w:w="2600"/>
            <w:tcMar>
              <w:top w:type="dxa" w:w="70"/>
              <w:left w:type="dxa" w:w="0"/>
              <w:bottom w:type="dxa" w:w="70"/>
              <w:right w:type="dxa" w:w="60"/>
            </w:tcMar>
          </w:tcPr>
          <w:p>
            <w:pPr>
              <w:spacing w:after="0"/>
            </w:pPr>
            <w:r>
              <w:rPr>
                <w:rFonts w:ascii="Montserrat" w:cs="Montserrat" w:eastAsia="Montserrat" w:hAnsi="Montserrat"/>
                <w:b/>
                <w:bCs/>
                <w:i w:val="false"/>
                <w:iCs w:val="false"/>
                <w:caps/>
                <w:color w:val="C99A52"/>
                <w:spacing w:val="24"/>
                <w:sz w:val="15"/>
                <w:szCs w:val="15"/>
              </w:rPr>
              <w:t xml:space="preserve">PREPARED BY</w:t>
            </w:r>
          </w:p>
        </w:tc>
        <w:tc>
          <w:tcPr>
            <w:tcW w:type="dxa" w:w="6426"/>
            <w:tcMar>
              <w:top w:type="dxa" w:w="70"/>
              <w:left w:type="dxa" w:w="0"/>
              <w:bottom w:type="dxa" w:w="70"/>
              <w:right w:type="dxa" w:w="0"/>
            </w:tcMar>
          </w:tcPr>
          <w:p>
            <w:pPr>
              <w:spacing w:after="0"/>
            </w:pPr>
            <w:r>
              <w:rPr>
                <w:rFonts w:ascii="Inter" w:cs="Inter" w:eastAsia="Inter" w:hAnsi="Inter"/>
                <w:b w:val="false"/>
                <w:bCs w:val="false"/>
                <w:i w:val="false"/>
                <w:iCs w:val="false"/>
                <w:caps w:val="false"/>
                <w:color w:val="05132A"/>
                <w:sz w:val="21"/>
                <w:szCs w:val="21"/>
              </w:rPr>
              <w:t xml:space="preserve">Xander Lykopoulos — Argelis Consultancy</w:t>
            </w:r>
          </w:p>
        </w:tc>
      </w:tr>
      <w:tr>
        <w:tc>
          <w:tcPr>
            <w:tcW w:type="dxa" w:w="2600"/>
            <w:tcMar>
              <w:top w:type="dxa" w:w="70"/>
              <w:left w:type="dxa" w:w="0"/>
              <w:bottom w:type="dxa" w:w="70"/>
              <w:right w:type="dxa" w:w="60"/>
            </w:tcMar>
          </w:tcPr>
          <w:p>
            <w:pPr>
              <w:spacing w:after="0"/>
            </w:pPr>
            <w:r>
              <w:rPr>
                <w:rFonts w:ascii="Montserrat" w:cs="Montserrat" w:eastAsia="Montserrat" w:hAnsi="Montserrat"/>
                <w:b/>
                <w:bCs/>
                <w:i w:val="false"/>
                <w:iCs w:val="false"/>
                <w:caps/>
                <w:color w:val="C99A52"/>
                <w:spacing w:val="24"/>
                <w:sz w:val="15"/>
                <w:szCs w:val="15"/>
              </w:rPr>
              <w:t xml:space="preserve">DELIVERABLE</w:t>
            </w:r>
          </w:p>
        </w:tc>
        <w:tc>
          <w:tcPr>
            <w:tcW w:type="dxa" w:w="6426"/>
            <w:tcMar>
              <w:top w:type="dxa" w:w="70"/>
              <w:left w:type="dxa" w:w="0"/>
              <w:bottom w:type="dxa" w:w="70"/>
              <w:right w:type="dxa" w:w="0"/>
            </w:tcMar>
          </w:tcPr>
          <w:p>
            <w:pPr>
              <w:spacing w:after="0"/>
            </w:pPr>
            <w:r>
              <w:rPr>
                <w:rFonts w:ascii="Inter" w:cs="Inter" w:eastAsia="Inter" w:hAnsi="Inter"/>
                <w:b w:val="false"/>
                <w:bCs w:val="false"/>
                <w:i w:val="false"/>
                <w:iCs w:val="false"/>
                <w:caps w:val="false"/>
                <w:color w:val="05132A"/>
                <w:sz w:val="21"/>
                <w:szCs w:val="21"/>
              </w:rPr>
              <w:t xml:space="preserve">ALM runbook (WBS 0.6)</w:t>
            </w:r>
          </w:p>
        </w:tc>
      </w:tr>
      <w:tr>
        <w:tc>
          <w:tcPr>
            <w:tcW w:type="dxa" w:w="2600"/>
            <w:tcMar>
              <w:top w:type="dxa" w:w="70"/>
              <w:left w:type="dxa" w:w="0"/>
              <w:bottom w:type="dxa" w:w="70"/>
              <w:right w:type="dxa" w:w="60"/>
            </w:tcMar>
          </w:tcPr>
          <w:p>
            <w:pPr>
              <w:spacing w:after="0"/>
            </w:pPr>
            <w:r>
              <w:rPr>
                <w:rFonts w:ascii="Montserrat" w:cs="Montserrat" w:eastAsia="Montserrat" w:hAnsi="Montserrat"/>
                <w:b/>
                <w:bCs/>
                <w:i w:val="false"/>
                <w:iCs w:val="false"/>
                <w:caps/>
                <w:color w:val="C99A52"/>
                <w:spacing w:val="24"/>
                <w:sz w:val="15"/>
                <w:szCs w:val="15"/>
              </w:rPr>
              <w:t xml:space="preserve">VERSION</w:t>
            </w:r>
          </w:p>
        </w:tc>
        <w:tc>
          <w:tcPr>
            <w:tcW w:type="dxa" w:w="6426"/>
            <w:tcMar>
              <w:top w:type="dxa" w:w="70"/>
              <w:left w:type="dxa" w:w="0"/>
              <w:bottom w:type="dxa" w:w="70"/>
              <w:right w:type="dxa" w:w="0"/>
            </w:tcMar>
          </w:tcPr>
          <w:p>
            <w:pPr>
              <w:spacing w:after="0"/>
            </w:pPr>
            <w:r>
              <w:rPr>
                <w:rFonts w:ascii="Inter" w:cs="Inter" w:eastAsia="Inter" w:hAnsi="Inter"/>
                <w:b w:val="false"/>
                <w:bCs w:val="false"/>
                <w:i w:val="false"/>
                <w:iCs w:val="false"/>
                <w:caps w:val="false"/>
                <w:color w:val="05132A"/>
                <w:sz w:val="21"/>
                <w:szCs w:val="21"/>
              </w:rPr>
              <w:t xml:space="preserve">v0.1 — Draft</w:t>
            </w:r>
          </w:p>
        </w:tc>
      </w:tr>
      <w:tr>
        <w:tc>
          <w:tcPr>
            <w:tcW w:type="dxa" w:w="2600"/>
            <w:tcMar>
              <w:top w:type="dxa" w:w="70"/>
              <w:left w:type="dxa" w:w="0"/>
              <w:bottom w:type="dxa" w:w="70"/>
              <w:right w:type="dxa" w:w="60"/>
            </w:tcMar>
          </w:tcPr>
          <w:p>
            <w:pPr>
              <w:spacing w:after="0"/>
            </w:pPr>
            <w:r>
              <w:rPr>
                <w:rFonts w:ascii="Montserrat" w:cs="Montserrat" w:eastAsia="Montserrat" w:hAnsi="Montserrat"/>
                <w:b/>
                <w:bCs/>
                <w:i w:val="false"/>
                <w:iCs w:val="false"/>
                <w:caps/>
                <w:color w:val="C99A52"/>
                <w:spacing w:val="24"/>
                <w:sz w:val="15"/>
                <w:szCs w:val="15"/>
              </w:rPr>
              <w:t xml:space="preserve">DATE</w:t>
            </w:r>
          </w:p>
        </w:tc>
        <w:tc>
          <w:tcPr>
            <w:tcW w:type="dxa" w:w="6426"/>
            <w:tcMar>
              <w:top w:type="dxa" w:w="70"/>
              <w:left w:type="dxa" w:w="0"/>
              <w:bottom w:type="dxa" w:w="70"/>
              <w:right w:type="dxa" w:w="0"/>
            </w:tcMar>
          </w:tcPr>
          <w:p>
            <w:pPr>
              <w:spacing w:after="0"/>
            </w:pPr>
            <w:r>
              <w:rPr>
                <w:rFonts w:ascii="Inter" w:cs="Inter" w:eastAsia="Inter" w:hAnsi="Inter"/>
                <w:b w:val="false"/>
                <w:bCs w:val="false"/>
                <w:i w:val="false"/>
                <w:iCs w:val="false"/>
                <w:caps w:val="false"/>
                <w:color w:val="05132A"/>
                <w:sz w:val="21"/>
                <w:szCs w:val="21"/>
              </w:rPr>
              <w:t xml:space="preserve">15 July 2026</w:t>
            </w:r>
          </w:p>
        </w:tc>
      </w:tr>
      <w:tr>
        <w:tc>
          <w:tcPr>
            <w:tcW w:type="dxa" w:w="2600"/>
            <w:tcMar>
              <w:top w:type="dxa" w:w="70"/>
              <w:left w:type="dxa" w:w="0"/>
              <w:bottom w:type="dxa" w:w="70"/>
              <w:right w:type="dxa" w:w="60"/>
            </w:tcMar>
          </w:tcPr>
          <w:p>
            <w:pPr>
              <w:spacing w:after="0"/>
            </w:pPr>
            <w:r>
              <w:rPr>
                <w:rFonts w:ascii="Montserrat" w:cs="Montserrat" w:eastAsia="Montserrat" w:hAnsi="Montserrat"/>
                <w:b/>
                <w:bCs/>
                <w:i w:val="false"/>
                <w:iCs w:val="false"/>
                <w:caps/>
                <w:color w:val="C99A52"/>
                <w:spacing w:val="24"/>
                <w:sz w:val="15"/>
                <w:szCs w:val="15"/>
              </w:rPr>
              <w:t xml:space="preserve">STATUS</w:t>
            </w:r>
          </w:p>
        </w:tc>
        <w:tc>
          <w:tcPr>
            <w:tcW w:type="dxa" w:w="6426"/>
            <w:tcMar>
              <w:top w:type="dxa" w:w="70"/>
              <w:left w:type="dxa" w:w="0"/>
              <w:bottom w:type="dxa" w:w="70"/>
              <w:right w:type="dxa" w:w="0"/>
            </w:tcMar>
          </w:tcPr>
          <w:p>
            <w:pPr>
              <w:spacing w:after="0"/>
            </w:pPr>
            <w:r>
              <w:rPr>
                <w:rFonts w:ascii="Inter" w:cs="Inter" w:eastAsia="Inter" w:hAnsi="Inter"/>
                <w:b w:val="false"/>
                <w:bCs w:val="false"/>
                <w:i w:val="false"/>
                <w:iCs w:val="false"/>
                <w:caps w:val="false"/>
                <w:color w:val="05132A"/>
                <w:sz w:val="21"/>
                <w:szCs w:val="21"/>
              </w:rPr>
              <w:t xml:space="preserve">Draft</w:t>
            </w:r>
          </w:p>
        </w:tc>
      </w:tr>
    </w:tbl>
    <w:p>
      <w:pPr>
        <w:spacing w:after="200"/>
      </w:pPr>
    </w:p>
    <w:p>
      <w:pPr>
        <w:spacing w:after="0" w:line="264"/>
      </w:pPr>
      <w:r>
        <w:rPr>
          <w:rFonts w:ascii="Inter" w:cs="Inter" w:eastAsia="Inter" w:hAnsi="Inter"/>
          <w:b w:val="false"/>
          <w:bCs w:val="false"/>
          <w:i w:val="false"/>
          <w:iCs w:val="false"/>
          <w:caps w:val="false"/>
          <w:color w:val="8A9099"/>
          <w:sz w:val="17"/>
          <w:szCs w:val="17"/>
        </w:rPr>
        <w:t xml:space="preserve">v0.1 (15 Jul 2026): first draft; operationalises the ALM strategy in Solution Architecture v0.4 §7. Rev 15 Jul 2026: added an Error Log / REV | Ops | Failure Alert pre-deployment check and a deliberate-failure step to the PROD smoke test.</w:t>
      </w:r>
    </w:p>
    <w:p>
      <w:r>
        <w:br w:type="page"/>
      </w:r>
    </w:p>
    <w:p>
      <w:pPr>
        <w:spacing w:after="160"/>
      </w:pPr>
      <w:r>
        <w:rPr>
          <w:rFonts w:ascii="Montserrat" w:cs="Montserrat" w:eastAsia="Montserrat" w:hAnsi="Montserrat"/>
          <w:b/>
          <w:bCs/>
          <w:i w:val="false"/>
          <w:iCs w:val="false"/>
          <w:caps w:val="false"/>
          <w:color w:val="05132A"/>
          <w:sz w:val="30"/>
          <w:szCs w:val="30"/>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C99A52" w:sz="12" w:space="6"/>
        </w:pBdr>
        <w:spacing w:after="160" w:before="360"/>
      </w:pPr>
      <w:r>
        <w:rPr>
          <w:rFonts w:ascii="Montserrat" w:cs="Montserrat" w:eastAsia="Montserrat" w:hAnsi="Montserrat"/>
          <w:b/>
          <w:bCs/>
          <w:i w:val="false"/>
          <w:iCs w:val="false"/>
          <w:caps w:val="false"/>
          <w:color w:val="05132A"/>
          <w:sz w:val="30"/>
          <w:szCs w:val="30"/>
        </w:rPr>
        <w:t xml:space="preserve">1. Purpose and scope</w:t>
      </w:r>
    </w:p>
    <w:p>
      <w:pPr>
        <w:spacing w:after="160" w:before="0" w:line="276"/>
        <w:jc w:val="left"/>
      </w:pPr>
      <w:r>
        <w:rPr>
          <w:rFonts w:ascii="Inter" w:cs="Inter" w:eastAsia="Inter" w:hAnsi="Inter"/>
          <w:b w:val="false"/>
          <w:bCs w:val="false"/>
          <w:i w:val="false"/>
          <w:iCs w:val="false"/>
          <w:caps w:val="false"/>
          <w:color w:val="05132A"/>
          <w:sz w:val="21"/>
          <w:szCs w:val="21"/>
        </w:rPr>
        <w:t xml:space="preserve">This runbook is WBS 0.6. Solution Architecture v0.4 §7 set the strategy for how changes move from build to live. This document turns that strategy into the steps the team follows for every change to the grant solution, from a one-line fix to a new automation.</w:t>
      </w:r>
    </w:p>
    <w:p>
      <w:pPr>
        <w:spacing w:after="160" w:before="0" w:line="276"/>
        <w:jc w:val="left"/>
      </w:pPr>
      <w:r>
        <w:rPr>
          <w:rFonts w:ascii="Inter" w:cs="Inter" w:eastAsia="Inter" w:hAnsi="Inter"/>
          <w:b w:val="false"/>
          <w:bCs w:val="false"/>
          <w:i w:val="false"/>
          <w:iCs w:val="false"/>
          <w:caps w:val="false"/>
          <w:color w:val="05132A"/>
          <w:sz w:val="21"/>
          <w:szCs w:val="21"/>
        </w:rPr>
        <w:t xml:space="preserve">It covers the two environments, the single solution that is deployed, how a change is promoted from Development to Production, the checks made before each deployment, how versions are numbered and stored, and how to roll a change back if it misbehaves. It does not cover the internal logic of any flow (that sits in the Solution Design) or the data model (Grant Application Data Model v0.2).</w:t>
      </w:r>
    </w:p>
    <w:tbl>
      <w:tblPr>
        <w:tblW w:type="dxa" w:w="9026"/>
        <w:tblBorders>
          <w:top w:val="none" w:color="FFFFFF" w:sz="0"/>
          <w:left w:val="single" w:color="C99A52" w:sz="24"/>
          <w:bottom w:val="none" w:color="FFFFFF" w:sz="0"/>
          <w:right w:val="none" w:color="FFFFFF" w:sz="0"/>
          <w:insideH w:val="none" w:color="FFFFFF" w:sz="0"/>
          <w:insideV w:val="none" w:color="FFFFFF" w:sz="0"/>
        </w:tblBorders>
      </w:tblPr>
      <w:tblGrid>
        <w:gridCol w:w="9026"/>
      </w:tblGrid>
      <w:tr>
        <w:tc>
          <w:tcPr>
            <w:tcW w:type="dxa" w:w="9026"/>
            <w:shd w:fill="F7F5F2" w:color="auto" w:val="clear"/>
            <w:tcMar>
              <w:top w:type="dxa" w:w="160"/>
              <w:left w:type="dxa" w:w="220"/>
              <w:bottom w:type="dxa" w:w="160"/>
              <w:right w:type="dxa" w:w="220"/>
            </w:tcMar>
          </w:tcPr>
          <w:p>
            <w:pPr>
              <w:spacing w:after="60" w:line="240"/>
            </w:pPr>
            <w:r>
              <w:rPr>
                <w:rFonts w:ascii="Montserrat" w:cs="Montserrat" w:eastAsia="Montserrat" w:hAnsi="Montserrat"/>
                <w:b/>
                <w:bCs/>
                <w:i w:val="false"/>
                <w:iCs w:val="false"/>
                <w:caps/>
                <w:color w:val="C99A52"/>
                <w:spacing w:val="20"/>
                <w:sz w:val="16"/>
                <w:szCs w:val="16"/>
              </w:rPr>
              <w:t xml:space="preserve">In plain terms</w:t>
            </w:r>
          </w:p>
          <w:p>
            <w:pPr>
              <w:spacing w:after="0" w:line="264"/>
            </w:pPr>
            <w:r>
              <w:rPr>
                <w:rFonts w:ascii="Inter" w:cs="Inter" w:eastAsia="Inter" w:hAnsi="Inter"/>
                <w:b w:val="false"/>
                <w:bCs w:val="false"/>
                <w:i w:val="false"/>
                <w:iCs w:val="false"/>
                <w:caps w:val="false"/>
                <w:color w:val="05132A"/>
                <w:sz w:val="21"/>
                <w:szCs w:val="21"/>
              </w:rPr>
              <w:t xml:space="preserve">Build and test in a separate development copy, ship to the live system as a locked package, and roll back by re-importing the previous package — the live grant process is never where mistakes are found.</w:t>
            </w:r>
          </w:p>
        </w:tc>
      </w:tr>
    </w:tbl>
    <w:p>
      <w:pPr>
        <w:spacing w:after="160" w:before="0" w:line="276"/>
        <w:jc w:val="left"/>
      </w:pPr>
      <w:r>
        <w:rPr>
          <w:rFonts w:ascii="Inter" w:cs="Inter" w:eastAsia="Inter" w:hAnsi="Inter"/>
          <w:b w:val="false"/>
          <w:bCs w:val="false"/>
          <w:i w:val="false"/>
          <w:iCs w:val="false"/>
          <w:caps w:val="false"/>
          <w:color w:val="05132A"/>
          <w:sz w:val="21"/>
          <w:szCs w:val="21"/>
        </w:rPr>
        <w:t xml:space="preserve">It sits alongside the Security Model (WBS 0.5), which defines the roles and field-level security carried inside the solution; the Data Governance Framework (WBS 0.7), which sets retention and erasure; and the Governance Runbook (WBS 0.8), which covers day-to-day operation and handover. Where a deployment changes roles, data handling or retention, the matching sign-off in those documents applies before promotion.</w:t>
      </w:r>
    </w:p>
    <w:p>
      <w:pPr>
        <w:pStyle w:val="Heading1"/>
        <w:pBdr>
          <w:bottom w:val="single" w:color="C99A52" w:sz="12" w:space="6"/>
        </w:pBdr>
        <w:spacing w:after="160" w:before="360"/>
      </w:pPr>
      <w:r>
        <w:rPr>
          <w:rFonts w:ascii="Montserrat" w:cs="Montserrat" w:eastAsia="Montserrat" w:hAnsi="Montserrat"/>
          <w:b/>
          <w:bCs/>
          <w:i w:val="false"/>
          <w:iCs w:val="false"/>
          <w:caps w:val="false"/>
          <w:color w:val="05132A"/>
          <w:sz w:val="30"/>
          <w:szCs w:val="30"/>
        </w:rPr>
        <w:t xml:space="preserve">2. Environments and roles</w:t>
      </w:r>
    </w:p>
    <w:p>
      <w:pPr>
        <w:spacing w:after="160" w:before="0" w:line="276"/>
        <w:jc w:val="left"/>
      </w:pPr>
      <w:r>
        <w:rPr>
          <w:rFonts w:ascii="Inter" w:cs="Inter" w:eastAsia="Inter" w:hAnsi="Inter"/>
          <w:b w:val="false"/>
          <w:bCs w:val="false"/>
          <w:i w:val="false"/>
          <w:iCs w:val="false"/>
          <w:caps w:val="false"/>
          <w:color w:val="05132A"/>
          <w:sz w:val="21"/>
          <w:szCs w:val="21"/>
        </w:rPr>
        <w:t xml:space="preserve">There are two managed, Dataverse-enabled, UK-region environments. Development (DEV) is where all building and testing happens, against synthetic data only. Production (PROD) holds the real grant data and runs the live process. No change is ever made directly in PROD.</w:t>
      </w:r>
    </w:p>
    <w:p>
      <w:pPr>
        <w:spacing w:after="160" w:before="0" w:line="276"/>
        <w:jc w:val="left"/>
      </w:pPr>
      <w:r>
        <w:rPr>
          <w:rFonts w:ascii="Inter" w:cs="Inter" w:eastAsia="Inter" w:hAnsi="Inter"/>
          <w:b/>
          <w:bCs/>
          <w:i w:val="false"/>
          <w:iCs w:val="false"/>
          <w:caps w:val="false"/>
          <w:color w:val="05132A"/>
          <w:sz w:val="21"/>
          <w:szCs w:val="21"/>
        </w:rPr>
        <w:t xml:space="preserve">The service account is the operator. </w:t>
      </w:r>
      <w:r>
        <w:rPr>
          <w:rFonts w:ascii="Inter" w:cs="Inter" w:eastAsia="Inter" w:hAnsi="Inter"/>
          <w:b w:val="false"/>
          <w:bCs w:val="false"/>
          <w:i w:val="false"/>
          <w:iCs w:val="false"/>
          <w:caps w:val="false"/>
          <w:color w:val="05132A"/>
          <w:sz w:val="21"/>
          <w:szCs w:val="21"/>
        </w:rPr>
        <w:t xml:space="preserve">svc-grantautomation@revitalise.org owns and runs every flow and connection in PROD. It is not a personal login, so the process keeps running when people are away or leave. Xander is the maker in DEV during the build; the service account also exists in DEV so flows behave the same in both places.</w:t>
      </w:r>
    </w:p>
    <w:p>
      <w:pPr>
        <w:spacing w:after="160" w:before="0" w:line="276"/>
        <w:jc w:val="left"/>
      </w:pPr>
      <w:r>
        <w:rPr>
          <w:rFonts w:ascii="Inter" w:cs="Inter" w:eastAsia="Inter" w:hAnsi="Inter"/>
          <w:b w:val="false"/>
          <w:bCs w:val="false"/>
          <w:i w:val="false"/>
          <w:iCs w:val="false"/>
          <w:caps w:val="false"/>
          <w:color w:val="05132A"/>
          <w:sz w:val="21"/>
          <w:szCs w:val="21"/>
        </w:rPr>
        <w:t xml:space="preserve">Access to each environment is controlled by an Entra ID security group, one per environment, so membership is managed in one place rather than user by user. Promotion between the two uses Power Platform Pipelines, which is built into the Power Platform and needs no extra licence.</w:t>
      </w:r>
    </w:p>
    <w:tbl>
      <w:tblPr>
        <w:tblW w:type="dxa" w:w="9026"/>
        <w:tblBorders>
          <w:top w:val="single" w:color="D9DDE3" w:sz="4"/>
          <w:left w:val="single" w:color="D9DDE3" w:sz="4"/>
          <w:bottom w:val="single" w:color="D9DDE3" w:sz="4"/>
          <w:right w:val="single" w:color="D9DDE3" w:sz="4"/>
          <w:insideH w:val="single" w:color="D9DDE3" w:sz="4"/>
          <w:insideV w:val="single" w:color="D9DDE3" w:sz="4"/>
        </w:tblBorders>
      </w:tblPr>
      <w:tblGrid>
        <w:gridCol w:w="1500"/>
        <w:gridCol w:w="2300"/>
        <w:gridCol w:w="2100"/>
        <w:gridCol w:w="3126"/>
      </w:tblGrid>
      <w:tr>
        <w:trPr>
          <w:tblHeader/>
        </w:trPr>
        <w:tc>
          <w:tcPr>
            <w:tcW w:type="dxa" w:w="1500"/>
            <w:shd w:fill="05132A" w:color="auto" w:val="clear"/>
            <w:tcMar>
              <w:top w:type="dxa" w:w="80"/>
              <w:left w:type="dxa" w:w="110"/>
              <w:bottom w:type="dxa" w:w="80"/>
              <w:right w:type="dxa" w:w="110"/>
            </w:tcMar>
          </w:tcPr>
          <w:p>
            <w:pPr>
              <w:spacing w:after="0" w:line="252"/>
            </w:pPr>
            <w:r>
              <w:rPr>
                <w:rFonts w:ascii="Montserrat" w:cs="Montserrat" w:eastAsia="Montserrat" w:hAnsi="Montserrat"/>
                <w:b/>
                <w:bCs/>
                <w:i w:val="false"/>
                <w:iCs w:val="false"/>
                <w:caps w:val="false"/>
                <w:color w:val="FFFFFF"/>
                <w:sz w:val="19"/>
                <w:szCs w:val="19"/>
              </w:rPr>
              <w:t xml:space="preserve">Environment</w:t>
            </w:r>
          </w:p>
        </w:tc>
        <w:tc>
          <w:tcPr>
            <w:tcW w:type="dxa" w:w="2300"/>
            <w:shd w:fill="05132A" w:color="auto" w:val="clear"/>
            <w:tcMar>
              <w:top w:type="dxa" w:w="80"/>
              <w:left w:type="dxa" w:w="110"/>
              <w:bottom w:type="dxa" w:w="80"/>
              <w:right w:type="dxa" w:w="110"/>
            </w:tcMar>
          </w:tcPr>
          <w:p>
            <w:pPr>
              <w:spacing w:after="0" w:line="252"/>
            </w:pPr>
            <w:r>
              <w:rPr>
                <w:rFonts w:ascii="Montserrat" w:cs="Montserrat" w:eastAsia="Montserrat" w:hAnsi="Montserrat"/>
                <w:b/>
                <w:bCs/>
                <w:i w:val="false"/>
                <w:iCs w:val="false"/>
                <w:caps w:val="false"/>
                <w:color w:val="FFFFFF"/>
                <w:sz w:val="19"/>
                <w:szCs w:val="19"/>
              </w:rPr>
              <w:t xml:space="preserve">Solution state</w:t>
            </w:r>
          </w:p>
        </w:tc>
        <w:tc>
          <w:tcPr>
            <w:tcW w:type="dxa" w:w="2100"/>
            <w:shd w:fill="05132A" w:color="auto" w:val="clear"/>
            <w:tcMar>
              <w:top w:type="dxa" w:w="80"/>
              <w:left w:type="dxa" w:w="110"/>
              <w:bottom w:type="dxa" w:w="80"/>
              <w:right w:type="dxa" w:w="110"/>
            </w:tcMar>
          </w:tcPr>
          <w:p>
            <w:pPr>
              <w:spacing w:after="0" w:line="252"/>
            </w:pPr>
            <w:r>
              <w:rPr>
                <w:rFonts w:ascii="Montserrat" w:cs="Montserrat" w:eastAsia="Montserrat" w:hAnsi="Montserrat"/>
                <w:b/>
                <w:bCs/>
                <w:i w:val="false"/>
                <w:iCs w:val="false"/>
                <w:caps w:val="false"/>
                <w:color w:val="FFFFFF"/>
                <w:sz w:val="19"/>
                <w:szCs w:val="19"/>
              </w:rPr>
              <w:t xml:space="preserve">Data</w:t>
            </w:r>
          </w:p>
        </w:tc>
        <w:tc>
          <w:tcPr>
            <w:tcW w:type="dxa" w:w="3126"/>
            <w:shd w:fill="05132A" w:color="auto" w:val="clear"/>
            <w:tcMar>
              <w:top w:type="dxa" w:w="80"/>
              <w:left w:type="dxa" w:w="110"/>
              <w:bottom w:type="dxa" w:w="80"/>
              <w:right w:type="dxa" w:w="110"/>
            </w:tcMar>
          </w:tcPr>
          <w:p>
            <w:pPr>
              <w:spacing w:after="0" w:line="252"/>
            </w:pPr>
            <w:r>
              <w:rPr>
                <w:rFonts w:ascii="Montserrat" w:cs="Montserrat" w:eastAsia="Montserrat" w:hAnsi="Montserrat"/>
                <w:b/>
                <w:bCs/>
                <w:i w:val="false"/>
                <w:iCs w:val="false"/>
                <w:caps w:val="false"/>
                <w:color w:val="FFFFFF"/>
                <w:sz w:val="19"/>
                <w:szCs w:val="19"/>
              </w:rPr>
              <w:t xml:space="preserve">Who</w:t>
            </w:r>
          </w:p>
        </w:tc>
      </w:tr>
      <w:tr>
        <w:tc>
          <w:tcPr>
            <w:tcW w:type="dxa" w:w="15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DEV</w:t>
            </w:r>
          </w:p>
        </w:tc>
        <w:tc>
          <w:tcPr>
            <w:tcW w:type="dxa" w:w="23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Unmanaged (editable)</w:t>
            </w:r>
          </w:p>
        </w:tc>
        <w:tc>
          <w:tcPr>
            <w:tcW w:type="dxa" w:w="21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Synthetic / test only</w:t>
            </w:r>
          </w:p>
        </w:tc>
        <w:tc>
          <w:tcPr>
            <w:tcW w:type="dxa" w:w="3126"/>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Xander (maker) + service account</w:t>
            </w:r>
          </w:p>
        </w:tc>
      </w:tr>
      <w:tr>
        <w:tc>
          <w:tcPr>
            <w:tcW w:type="dxa" w:w="15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PROD</w:t>
            </w:r>
          </w:p>
        </w:tc>
        <w:tc>
          <w:tcPr>
            <w:tcW w:type="dxa" w:w="23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Managed (locked)</w:t>
            </w:r>
          </w:p>
        </w:tc>
        <w:tc>
          <w:tcPr>
            <w:tcW w:type="dxa" w:w="21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Real grant data</w:t>
            </w:r>
          </w:p>
        </w:tc>
        <w:tc>
          <w:tcPr>
            <w:tcW w:type="dxa" w:w="3126"/>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Service account runs the flows</w:t>
            </w:r>
          </w:p>
        </w:tc>
      </w:tr>
    </w:tbl>
    <w:p>
      <w:pPr>
        <w:pStyle w:val="Heading1"/>
        <w:pBdr>
          <w:bottom w:val="single" w:color="C99A52" w:sz="12" w:space="6"/>
        </w:pBdr>
        <w:spacing w:after="160" w:before="360"/>
      </w:pPr>
      <w:r>
        <w:rPr>
          <w:rFonts w:ascii="Montserrat" w:cs="Montserrat" w:eastAsia="Montserrat" w:hAnsi="Montserrat"/>
          <w:b/>
          <w:bCs/>
          <w:i w:val="false"/>
          <w:iCs w:val="false"/>
          <w:caps w:val="false"/>
          <w:color w:val="05132A"/>
          <w:sz w:val="30"/>
          <w:szCs w:val="30"/>
        </w:rPr>
        <w:t xml:space="preserve">3. Solution packaging</w:t>
      </w:r>
    </w:p>
    <w:p>
      <w:pPr>
        <w:spacing w:after="160" w:before="0" w:line="276"/>
        <w:jc w:val="left"/>
      </w:pPr>
      <w:r>
        <w:rPr>
          <w:rFonts w:ascii="Inter" w:cs="Inter" w:eastAsia="Inter" w:hAnsi="Inter"/>
          <w:b w:val="false"/>
          <w:bCs w:val="false"/>
          <w:i w:val="false"/>
          <w:iCs w:val="false"/>
          <w:caps w:val="false"/>
          <w:color w:val="05132A"/>
          <w:sz w:val="21"/>
          <w:szCs w:val="21"/>
        </w:rPr>
        <w:t xml:space="preserve">Everything ships as one Power Platform solution, RevitaliseGrantAutomation, with the publisher prefix rev. Packaging the whole build as a single unit means one version number and one import describe the state of the live system at any time. The solution holds the flows, the connection references, the environment variables, the AI model reference, and the app and templates where those are solution-aware.</w:t>
      </w:r>
    </w:p>
    <w:p>
      <w:pPr>
        <w:pStyle w:val="Heading2"/>
        <w:spacing w:after="120" w:before="260"/>
      </w:pPr>
      <w:r>
        <w:rPr>
          <w:rFonts w:ascii="Montserrat" w:cs="Montserrat" w:eastAsia="Montserrat" w:hAnsi="Montserrat"/>
          <w:b/>
          <w:bCs/>
          <w:i w:val="false"/>
          <w:iCs w:val="false"/>
          <w:caps w:val="false"/>
          <w:color w:val="05132A"/>
          <w:sz w:val="24"/>
          <w:szCs w:val="24"/>
        </w:rPr>
        <w:t xml:space="preserve">Connection references</w:t>
      </w:r>
    </w:p>
    <w:p>
      <w:pPr>
        <w:spacing w:after="160" w:before="0" w:line="276"/>
        <w:jc w:val="left"/>
      </w:pPr>
      <w:r>
        <w:rPr>
          <w:rFonts w:ascii="Inter" w:cs="Inter" w:eastAsia="Inter" w:hAnsi="Inter"/>
          <w:b w:val="false"/>
          <w:bCs w:val="false"/>
          <w:i w:val="false"/>
          <w:iCs w:val="false"/>
          <w:caps w:val="false"/>
          <w:color w:val="05132A"/>
          <w:sz w:val="21"/>
          <w:szCs w:val="21"/>
        </w:rPr>
        <w:t xml:space="preserve">A connection reference lets a flow point to "the Dataverse connection" or "the DocuSign connection" rather than a specific person's login. The connection is set once per environment and every flow re-binds to it cleanly on import, so no flow is edited during deployment. The four connection references are:</w:t>
      </w:r>
    </w:p>
    <w:p>
      <w:pPr>
        <w:pStyle w:val="ListParagraph"/>
        <w:numPr>
          <w:ilvl w:val="0"/>
          <w:numId w:val="2"/>
        </w:numPr>
        <w:spacing w:after="90" w:line="264"/>
      </w:pPr>
      <w:r>
        <w:rPr>
          <w:rFonts w:ascii="Inter" w:cs="Inter" w:eastAsia="Inter" w:hAnsi="Inter"/>
          <w:b w:val="false"/>
          <w:bCs w:val="false"/>
          <w:i w:val="false"/>
          <w:iCs w:val="false"/>
          <w:caps w:val="false"/>
          <w:color w:val="05132A"/>
          <w:sz w:val="21"/>
          <w:szCs w:val="21"/>
        </w:rPr>
        <w:t xml:space="preserve">rev-dataverse — the Dataverse data layer</w:t>
      </w:r>
    </w:p>
    <w:p>
      <w:pPr>
        <w:pStyle w:val="ListParagraph"/>
        <w:numPr>
          <w:ilvl w:val="0"/>
          <w:numId w:val="2"/>
        </w:numPr>
        <w:spacing w:after="90" w:line="264"/>
      </w:pPr>
      <w:r>
        <w:rPr>
          <w:rFonts w:ascii="Inter" w:cs="Inter" w:eastAsia="Inter" w:hAnsi="Inter"/>
          <w:b w:val="false"/>
          <w:bCs w:val="false"/>
          <w:i w:val="false"/>
          <w:iCs w:val="false"/>
          <w:caps w:val="false"/>
          <w:color w:val="05132A"/>
          <w:sz w:val="21"/>
          <w:szCs w:val="21"/>
        </w:rPr>
        <w:t xml:space="preserve">rev-docusign — signed acceptance envelopes</w:t>
      </w:r>
    </w:p>
    <w:p>
      <w:pPr>
        <w:pStyle w:val="ListParagraph"/>
        <w:numPr>
          <w:ilvl w:val="0"/>
          <w:numId w:val="2"/>
        </w:numPr>
        <w:spacing w:after="90" w:line="264"/>
      </w:pPr>
      <w:r>
        <w:rPr>
          <w:rFonts w:ascii="Inter" w:cs="Inter" w:eastAsia="Inter" w:hAnsi="Inter"/>
          <w:b w:val="false"/>
          <w:bCs w:val="false"/>
          <w:i w:val="false"/>
          <w:iCs w:val="false"/>
          <w:caps w:val="false"/>
          <w:color w:val="05132A"/>
          <w:sz w:val="21"/>
          <w:szCs w:val="21"/>
        </w:rPr>
        <w:t xml:space="preserve">rev-qbo — QuickBooks Online (read)</w:t>
      </w:r>
    </w:p>
    <w:p>
      <w:pPr>
        <w:pStyle w:val="ListParagraph"/>
        <w:numPr>
          <w:ilvl w:val="0"/>
          <w:numId w:val="2"/>
        </w:numPr>
        <w:spacing w:after="90" w:line="264"/>
      </w:pPr>
      <w:r>
        <w:rPr>
          <w:rFonts w:ascii="Inter" w:cs="Inter" w:eastAsia="Inter" w:hAnsi="Inter"/>
          <w:b w:val="false"/>
          <w:bCs w:val="false"/>
          <w:i w:val="false"/>
          <w:iCs w:val="false"/>
          <w:caps w:val="false"/>
          <w:color w:val="05132A"/>
          <w:sz w:val="21"/>
          <w:szCs w:val="21"/>
        </w:rPr>
        <w:t xml:space="preserve">rev-outlook — Outlook / Teams outbound messages</w:t>
      </w:r>
    </w:p>
    <w:p>
      <w:pPr>
        <w:pStyle w:val="Heading2"/>
        <w:spacing w:after="120" w:before="260"/>
      </w:pPr>
      <w:r>
        <w:rPr>
          <w:rFonts w:ascii="Montserrat" w:cs="Montserrat" w:eastAsia="Montserrat" w:hAnsi="Montserrat"/>
          <w:b/>
          <w:bCs/>
          <w:i w:val="false"/>
          <w:iCs w:val="false"/>
          <w:caps w:val="false"/>
          <w:color w:val="05132A"/>
          <w:sz w:val="24"/>
          <w:szCs w:val="24"/>
        </w:rPr>
        <w:t xml:space="preserve">Environment variables</w:t>
      </w:r>
    </w:p>
    <w:p>
      <w:pPr>
        <w:spacing w:after="160" w:before="0" w:line="276"/>
        <w:jc w:val="left"/>
      </w:pPr>
      <w:r>
        <w:rPr>
          <w:rFonts w:ascii="Inter" w:cs="Inter" w:eastAsia="Inter" w:hAnsi="Inter"/>
          <w:b w:val="false"/>
          <w:bCs w:val="false"/>
          <w:i w:val="false"/>
          <w:iCs w:val="false"/>
          <w:caps w:val="false"/>
          <w:color w:val="05132A"/>
          <w:sz w:val="21"/>
          <w:szCs w:val="21"/>
        </w:rPr>
        <w:t xml:space="preserve">An environment variable holds a value that differs between DEV and PROD — a library, a mailbox, a threshold — so the same package works in both places once the value is set at import time. No flow is edited to move between environments. The three environment variables are:</w:t>
      </w:r>
    </w:p>
    <w:p>
      <w:pPr>
        <w:pStyle w:val="ListParagraph"/>
        <w:numPr>
          <w:ilvl w:val="0"/>
          <w:numId w:val="2"/>
        </w:numPr>
        <w:spacing w:after="90" w:line="264"/>
      </w:pPr>
      <w:r>
        <w:rPr>
          <w:rFonts w:ascii="Inter" w:cs="Inter" w:eastAsia="Inter" w:hAnsi="Inter"/>
          <w:b w:val="false"/>
          <w:bCs w:val="false"/>
          <w:i w:val="false"/>
          <w:iCs w:val="false"/>
          <w:caps w:val="false"/>
          <w:color w:val="05132A"/>
          <w:sz w:val="21"/>
          <w:szCs w:val="21"/>
        </w:rPr>
        <w:t xml:space="preserve">rev_SignedDocLibrary — the SharePoint library that stores signed DocuSign PDFs</w:t>
      </w:r>
    </w:p>
    <w:p>
      <w:pPr>
        <w:pStyle w:val="ListParagraph"/>
        <w:numPr>
          <w:ilvl w:val="0"/>
          <w:numId w:val="2"/>
        </w:numPr>
        <w:spacing w:after="90" w:line="264"/>
      </w:pPr>
      <w:r>
        <w:rPr>
          <w:rFonts w:ascii="Inter" w:cs="Inter" w:eastAsia="Inter" w:hAnsi="Inter"/>
          <w:b w:val="false"/>
          <w:bCs w:val="false"/>
          <w:i w:val="false"/>
          <w:iCs w:val="false"/>
          <w:caps w:val="false"/>
          <w:color w:val="05132A"/>
          <w:sz w:val="21"/>
          <w:szCs w:val="21"/>
        </w:rPr>
        <w:t xml:space="preserve">rev_ServiceMailbox — the mailbox the service account sends from</w:t>
      </w:r>
    </w:p>
    <w:p>
      <w:pPr>
        <w:pStyle w:val="ListParagraph"/>
        <w:numPr>
          <w:ilvl w:val="0"/>
          <w:numId w:val="2"/>
        </w:numPr>
        <w:spacing w:after="90" w:line="264"/>
      </w:pPr>
      <w:r>
        <w:rPr>
          <w:rFonts w:ascii="Inter" w:cs="Inter" w:eastAsia="Inter" w:hAnsi="Inter"/>
          <w:b w:val="false"/>
          <w:bCs w:val="false"/>
          <w:i w:val="false"/>
          <w:iCs w:val="false"/>
          <w:caps w:val="false"/>
          <w:color w:val="05132A"/>
          <w:sz w:val="21"/>
          <w:szCs w:val="21"/>
        </w:rPr>
        <w:t xml:space="preserve">rev_DefaultThreshold — the default scoring threshold for flagging</w:t>
      </w:r>
    </w:p>
    <w:p>
      <w:pPr>
        <w:pStyle w:val="Heading1"/>
        <w:pBdr>
          <w:bottom w:val="single" w:color="C99A52" w:sz="12" w:space="6"/>
        </w:pBdr>
        <w:spacing w:after="160" w:before="360"/>
      </w:pPr>
      <w:r>
        <w:rPr>
          <w:rFonts w:ascii="Montserrat" w:cs="Montserrat" w:eastAsia="Montserrat" w:hAnsi="Montserrat"/>
          <w:b/>
          <w:bCs/>
          <w:i w:val="false"/>
          <w:iCs w:val="false"/>
          <w:caps w:val="false"/>
          <w:color w:val="05132A"/>
          <w:sz w:val="30"/>
          <w:szCs w:val="30"/>
        </w:rPr>
        <w:t xml:space="preserve">4. Dev to Prod promotion</w:t>
      </w:r>
    </w:p>
    <w:p>
      <w:pPr>
        <w:spacing w:after="160" w:before="0" w:line="276"/>
        <w:jc w:val="left"/>
      </w:pPr>
      <w:r>
        <w:rPr>
          <w:rFonts w:ascii="Inter" w:cs="Inter" w:eastAsia="Inter" w:hAnsi="Inter"/>
          <w:b w:val="false"/>
          <w:bCs w:val="false"/>
          <w:i w:val="false"/>
          <w:iCs w:val="false"/>
          <w:caps w:val="false"/>
          <w:color w:val="05132A"/>
          <w:sz w:val="21"/>
          <w:szCs w:val="21"/>
        </w:rPr>
        <w:t xml:space="preserve">Follow these steps in order for every promotion. Steps run through Power Platform Pipelines, which gives one-click export/import and an audit trail of who deployed what and when.</w:t>
      </w:r>
    </w:p>
    <w:p>
      <w:pPr>
        <w:pStyle w:val="ListParagraph"/>
        <w:numPr>
          <w:ilvl w:val="0"/>
          <w:numId w:val="3"/>
        </w:numPr>
        <w:spacing w:after="90" w:line="264"/>
      </w:pPr>
      <w:r>
        <w:rPr>
          <w:rFonts w:ascii="Inter" w:cs="Inter" w:eastAsia="Inter" w:hAnsi="Inter"/>
          <w:b w:val="false"/>
          <w:bCs w:val="false"/>
          <w:i w:val="false"/>
          <w:iCs w:val="false"/>
          <w:caps w:val="false"/>
          <w:color w:val="05132A"/>
          <w:sz w:val="21"/>
          <w:szCs w:val="21"/>
        </w:rPr>
        <w:t xml:space="preserve">Build and test the change in DEV against synthetic data until it is signed off by the process owner.</w:t>
      </w:r>
    </w:p>
    <w:p>
      <w:pPr>
        <w:pStyle w:val="ListParagraph"/>
        <w:numPr>
          <w:ilvl w:val="0"/>
          <w:numId w:val="3"/>
        </w:numPr>
        <w:spacing w:after="90" w:line="264"/>
      </w:pPr>
      <w:r>
        <w:rPr>
          <w:rFonts w:ascii="Inter" w:cs="Inter" w:eastAsia="Inter" w:hAnsi="Inter"/>
          <w:b w:val="false"/>
          <w:bCs w:val="false"/>
          <w:i w:val="false"/>
          <w:iCs w:val="false"/>
          <w:caps w:val="false"/>
          <w:color w:val="05132A"/>
          <w:sz w:val="21"/>
          <w:szCs w:val="21"/>
        </w:rPr>
        <w:t xml:space="preserve">Increment the version number (see section 6) so the release is uniquely identified.</w:t>
      </w:r>
    </w:p>
    <w:p>
      <w:pPr>
        <w:pStyle w:val="ListParagraph"/>
        <w:numPr>
          <w:ilvl w:val="0"/>
          <w:numId w:val="3"/>
        </w:numPr>
        <w:spacing w:after="90" w:line="264"/>
      </w:pPr>
      <w:r>
        <w:rPr>
          <w:rFonts w:ascii="Inter" w:cs="Inter" w:eastAsia="Inter" w:hAnsi="Inter"/>
          <w:b w:val="false"/>
          <w:bCs w:val="false"/>
          <w:i w:val="false"/>
          <w:iCs w:val="false"/>
          <w:caps w:val="false"/>
          <w:color w:val="05132A"/>
          <w:sz w:val="21"/>
          <w:szCs w:val="21"/>
        </w:rPr>
        <w:t xml:space="preserve">Export the solution from DEV as a managed package, through Pipelines.</w:t>
      </w:r>
    </w:p>
    <w:p>
      <w:pPr>
        <w:pStyle w:val="ListParagraph"/>
        <w:numPr>
          <w:ilvl w:val="0"/>
          <w:numId w:val="3"/>
        </w:numPr>
        <w:spacing w:after="90" w:line="264"/>
      </w:pPr>
      <w:r>
        <w:rPr>
          <w:rFonts w:ascii="Inter" w:cs="Inter" w:eastAsia="Inter" w:hAnsi="Inter"/>
          <w:b w:val="false"/>
          <w:bCs w:val="false"/>
          <w:i w:val="false"/>
          <w:iCs w:val="false"/>
          <w:caps w:val="false"/>
          <w:color w:val="05132A"/>
          <w:sz w:val="21"/>
          <w:szCs w:val="21"/>
        </w:rPr>
        <w:t xml:space="preserve">Import the managed package into PROD.</w:t>
      </w:r>
    </w:p>
    <w:p>
      <w:pPr>
        <w:pStyle w:val="ListParagraph"/>
        <w:numPr>
          <w:ilvl w:val="0"/>
          <w:numId w:val="3"/>
        </w:numPr>
        <w:spacing w:after="90" w:line="264"/>
      </w:pPr>
      <w:r>
        <w:rPr>
          <w:rFonts w:ascii="Inter" w:cs="Inter" w:eastAsia="Inter" w:hAnsi="Inter"/>
          <w:b w:val="false"/>
          <w:bCs w:val="false"/>
          <w:i w:val="false"/>
          <w:iCs w:val="false"/>
          <w:caps w:val="false"/>
          <w:color w:val="05132A"/>
          <w:sz w:val="21"/>
          <w:szCs w:val="21"/>
        </w:rPr>
        <w:t xml:space="preserve">Map the connection references to the service-account connections (rev-dataverse, rev-docusign, rev-qbo, rev-outlook).</w:t>
      </w:r>
    </w:p>
    <w:p>
      <w:pPr>
        <w:pStyle w:val="ListParagraph"/>
        <w:numPr>
          <w:ilvl w:val="0"/>
          <w:numId w:val="3"/>
        </w:numPr>
        <w:spacing w:after="90" w:line="264"/>
      </w:pPr>
      <w:r>
        <w:rPr>
          <w:rFonts w:ascii="Inter" w:cs="Inter" w:eastAsia="Inter" w:hAnsi="Inter"/>
          <w:b w:val="false"/>
          <w:bCs w:val="false"/>
          <w:i w:val="false"/>
          <w:iCs w:val="false"/>
          <w:caps w:val="false"/>
          <w:color w:val="05132A"/>
          <w:sz w:val="21"/>
          <w:szCs w:val="21"/>
        </w:rPr>
        <w:t xml:space="preserve">Set the environment variables to their PROD values (rev_SignedDocLibrary, rev_ServiceMailbox, rev_DefaultThreshold).</w:t>
      </w:r>
    </w:p>
    <w:p>
      <w:pPr>
        <w:pStyle w:val="ListParagraph"/>
        <w:numPr>
          <w:ilvl w:val="0"/>
          <w:numId w:val="3"/>
        </w:numPr>
        <w:spacing w:after="90" w:line="264"/>
      </w:pPr>
      <w:r>
        <w:rPr>
          <w:rFonts w:ascii="Inter" w:cs="Inter" w:eastAsia="Inter" w:hAnsi="Inter"/>
          <w:b w:val="false"/>
          <w:bCs w:val="false"/>
          <w:i w:val="false"/>
          <w:iCs w:val="false"/>
          <w:caps w:val="false"/>
          <w:color w:val="05132A"/>
          <w:sz w:val="21"/>
          <w:szCs w:val="21"/>
        </w:rPr>
        <w:t xml:space="preserve">Smoke-test in PROD with one controlled application, end to end, and confirm the expected result. The smoke test also confirms that a deliberate failure produces an Error Log entry and a Failure Alert.</w:t>
      </w:r>
    </w:p>
    <w:p>
      <w:pPr>
        <w:pStyle w:val="ListParagraph"/>
        <w:numPr>
          <w:ilvl w:val="0"/>
          <w:numId w:val="3"/>
        </w:numPr>
        <w:spacing w:after="90" w:line="264"/>
      </w:pPr>
      <w:r>
        <w:rPr>
          <w:rFonts w:ascii="Inter" w:cs="Inter" w:eastAsia="Inter" w:hAnsi="Inter"/>
          <w:b w:val="false"/>
          <w:bCs w:val="false"/>
          <w:i w:val="false"/>
          <w:iCs w:val="false"/>
          <w:caps w:val="false"/>
          <w:color w:val="05132A"/>
          <w:sz w:val="21"/>
          <w:szCs w:val="21"/>
        </w:rPr>
        <w:t xml:space="preserve">Enable the live triggers so real applications start flowing through the change.</w:t>
      </w:r>
    </w:p>
    <w:p>
      <w:pPr>
        <w:pStyle w:val="Heading1"/>
        <w:pBdr>
          <w:bottom w:val="single" w:color="C99A52" w:sz="12" w:space="6"/>
        </w:pBdr>
        <w:spacing w:after="160" w:before="360"/>
      </w:pPr>
      <w:r>
        <w:rPr>
          <w:rFonts w:ascii="Montserrat" w:cs="Montserrat" w:eastAsia="Montserrat" w:hAnsi="Montserrat"/>
          <w:b/>
          <w:bCs/>
          <w:i w:val="false"/>
          <w:iCs w:val="false"/>
          <w:caps w:val="false"/>
          <w:color w:val="05132A"/>
          <w:sz w:val="30"/>
          <w:szCs w:val="30"/>
        </w:rPr>
        <w:t xml:space="preserve">5. Pre-deployment checklist</w:t>
      </w:r>
    </w:p>
    <w:p>
      <w:pPr>
        <w:spacing w:after="160" w:before="0" w:line="276"/>
        <w:jc w:val="left"/>
      </w:pPr>
      <w:r>
        <w:rPr>
          <w:rFonts w:ascii="Inter" w:cs="Inter" w:eastAsia="Inter" w:hAnsi="Inter"/>
          <w:b w:val="false"/>
          <w:bCs w:val="false"/>
          <w:i w:val="false"/>
          <w:iCs w:val="false"/>
          <w:caps w:val="false"/>
          <w:color w:val="05132A"/>
          <w:sz w:val="21"/>
          <w:szCs w:val="21"/>
        </w:rPr>
        <w:t xml:space="preserve">Work through this list before every promotion to PROD. Every line is marked done before the import proceeds; if any line cannot be met, the deployment waits.</w:t>
      </w:r>
    </w:p>
    <w:tbl>
      <w:tblPr>
        <w:tblW w:type="dxa" w:w="9026"/>
        <w:tblBorders>
          <w:top w:val="single" w:color="D9DDE3" w:sz="4"/>
          <w:left w:val="single" w:color="D9DDE3" w:sz="4"/>
          <w:bottom w:val="single" w:color="D9DDE3" w:sz="4"/>
          <w:right w:val="single" w:color="D9DDE3" w:sz="4"/>
          <w:insideH w:val="single" w:color="D9DDE3" w:sz="4"/>
          <w:insideV w:val="single" w:color="D9DDE3" w:sz="4"/>
        </w:tblBorders>
      </w:tblPr>
      <w:tblGrid>
        <w:gridCol w:w="7526"/>
        <w:gridCol w:w="1500"/>
      </w:tblGrid>
      <w:tr>
        <w:trPr>
          <w:tblHeader/>
        </w:trPr>
        <w:tc>
          <w:tcPr>
            <w:tcW w:type="dxa" w:w="7526"/>
            <w:shd w:fill="05132A" w:color="auto" w:val="clear"/>
            <w:tcMar>
              <w:top w:type="dxa" w:w="80"/>
              <w:left w:type="dxa" w:w="110"/>
              <w:bottom w:type="dxa" w:w="80"/>
              <w:right w:type="dxa" w:w="110"/>
            </w:tcMar>
          </w:tcPr>
          <w:p>
            <w:pPr>
              <w:spacing w:after="0" w:line="252"/>
            </w:pPr>
            <w:r>
              <w:rPr>
                <w:rFonts w:ascii="Montserrat" w:cs="Montserrat" w:eastAsia="Montserrat" w:hAnsi="Montserrat"/>
                <w:b/>
                <w:bCs/>
                <w:i w:val="false"/>
                <w:iCs w:val="false"/>
                <w:caps w:val="false"/>
                <w:color w:val="FFFFFF"/>
                <w:sz w:val="19"/>
                <w:szCs w:val="19"/>
              </w:rPr>
              <w:t xml:space="preserve">Check</w:t>
            </w:r>
          </w:p>
        </w:tc>
        <w:tc>
          <w:tcPr>
            <w:tcW w:type="dxa" w:w="1500"/>
            <w:shd w:fill="05132A" w:color="auto" w:val="clear"/>
            <w:tcMar>
              <w:top w:type="dxa" w:w="80"/>
              <w:left w:type="dxa" w:w="110"/>
              <w:bottom w:type="dxa" w:w="80"/>
              <w:right w:type="dxa" w:w="110"/>
            </w:tcMar>
          </w:tcPr>
          <w:p>
            <w:pPr>
              <w:spacing w:after="0" w:line="252"/>
            </w:pPr>
            <w:r>
              <w:rPr>
                <w:rFonts w:ascii="Montserrat" w:cs="Montserrat" w:eastAsia="Montserrat" w:hAnsi="Montserrat"/>
                <w:b/>
                <w:bCs/>
                <w:i w:val="false"/>
                <w:iCs w:val="false"/>
                <w:caps w:val="false"/>
                <w:color w:val="FFFFFF"/>
                <w:sz w:val="19"/>
                <w:szCs w:val="19"/>
              </w:rPr>
              <w:t xml:space="preserve">Done?</w:t>
            </w:r>
          </w:p>
        </w:tc>
      </w:tr>
      <w:tr>
        <w:tc>
          <w:tcPr>
            <w:tcW w:type="dxa" w:w="7526"/>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Change built and tested in DEV against synthetic data</w:t>
            </w:r>
          </w:p>
        </w:tc>
        <w:tc>
          <w:tcPr>
            <w:tcW w:type="dxa" w:w="15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
            </w:r>
          </w:p>
        </w:tc>
      </w:tr>
      <w:tr>
        <w:tc>
          <w:tcPr>
            <w:tcW w:type="dxa" w:w="7526"/>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Version number incremented</w:t>
            </w:r>
          </w:p>
        </w:tc>
        <w:tc>
          <w:tcPr>
            <w:tcW w:type="dxa" w:w="15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
            </w:r>
          </w:p>
        </w:tc>
      </w:tr>
      <w:tr>
        <w:tc>
          <w:tcPr>
            <w:tcW w:type="dxa" w:w="7526"/>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Release notes written for this version</w:t>
            </w:r>
          </w:p>
        </w:tc>
        <w:tc>
          <w:tcPr>
            <w:tcW w:type="dxa" w:w="15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
            </w:r>
          </w:p>
        </w:tc>
      </w:tr>
      <w:tr>
        <w:tc>
          <w:tcPr>
            <w:tcW w:type="dxa" w:w="7526"/>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Connection references mapped to service-account connections</w:t>
            </w:r>
          </w:p>
        </w:tc>
        <w:tc>
          <w:tcPr>
            <w:tcW w:type="dxa" w:w="15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
            </w:r>
          </w:p>
        </w:tc>
      </w:tr>
      <w:tr>
        <w:tc>
          <w:tcPr>
            <w:tcW w:type="dxa" w:w="7526"/>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Environment variables set to PROD values</w:t>
            </w:r>
          </w:p>
        </w:tc>
        <w:tc>
          <w:tcPr>
            <w:tcW w:type="dxa" w:w="15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
            </w:r>
          </w:p>
        </w:tc>
      </w:tr>
      <w:tr>
        <w:tc>
          <w:tcPr>
            <w:tcW w:type="dxa" w:w="7526"/>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DLP policy unaffected by the change</w:t>
            </w:r>
          </w:p>
        </w:tc>
        <w:tc>
          <w:tcPr>
            <w:tcW w:type="dxa" w:w="15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
            </w:r>
          </w:p>
        </w:tc>
      </w:tr>
      <w:tr>
        <w:tc>
          <w:tcPr>
            <w:tcW w:type="dxa" w:w="7526"/>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Managed package (.zip) retained for this version</w:t>
            </w:r>
          </w:p>
        </w:tc>
        <w:tc>
          <w:tcPr>
            <w:tcW w:type="dxa" w:w="15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
            </w:r>
          </w:p>
        </w:tc>
      </w:tr>
      <w:tr>
        <w:tc>
          <w:tcPr>
            <w:tcW w:type="dxa" w:w="7526"/>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Rollback package identified (prior version .zip)</w:t>
            </w:r>
          </w:p>
        </w:tc>
        <w:tc>
          <w:tcPr>
            <w:tcW w:type="dxa" w:w="15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
            </w:r>
          </w:p>
        </w:tc>
      </w:tr>
      <w:tr>
        <w:tc>
          <w:tcPr>
            <w:tcW w:type="dxa" w:w="7526"/>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Smoke-test plan ready (one controlled application)</w:t>
            </w:r>
          </w:p>
        </w:tc>
        <w:tc>
          <w:tcPr>
            <w:tcW w:type="dxa" w:w="15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
            </w:r>
          </w:p>
        </w:tc>
      </w:tr>
      <w:tr>
        <w:tc>
          <w:tcPr>
            <w:tcW w:type="dxa" w:w="7526"/>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Error-handling scope wired to the Failure Alert flow; a forced failure raises an Error Log entry and an alert (tested in DEV)</w:t>
            </w:r>
          </w:p>
        </w:tc>
        <w:tc>
          <w:tcPr>
            <w:tcW w:type="dxa" w:w="15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[TBC]</w:t>
            </w:r>
          </w:p>
        </w:tc>
      </w:tr>
      <w:tr>
        <w:tc>
          <w:tcPr>
            <w:tcW w:type="dxa" w:w="7526"/>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Sign-off recorded by the process owner</w:t>
            </w:r>
          </w:p>
        </w:tc>
        <w:tc>
          <w:tcPr>
            <w:tcW w:type="dxa" w:w="15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
            </w:r>
          </w:p>
        </w:tc>
      </w:tr>
    </w:tbl>
    <w:p>
      <w:pPr>
        <w:pStyle w:val="Heading1"/>
        <w:pBdr>
          <w:bottom w:val="single" w:color="C99A52" w:sz="12" w:space="6"/>
        </w:pBdr>
        <w:spacing w:after="160" w:before="360"/>
      </w:pPr>
      <w:r>
        <w:rPr>
          <w:rFonts w:ascii="Montserrat" w:cs="Montserrat" w:eastAsia="Montserrat" w:hAnsi="Montserrat"/>
          <w:b/>
          <w:bCs/>
          <w:i w:val="false"/>
          <w:iCs w:val="false"/>
          <w:caps w:val="false"/>
          <w:color w:val="05132A"/>
          <w:sz w:val="30"/>
          <w:szCs w:val="30"/>
        </w:rPr>
        <w:t xml:space="preserve">6. Versioning and source control</w:t>
      </w:r>
    </w:p>
    <w:p>
      <w:pPr>
        <w:spacing w:after="160" w:before="0" w:line="276"/>
        <w:jc w:val="left"/>
      </w:pPr>
      <w:r>
        <w:rPr>
          <w:rFonts w:ascii="Inter" w:cs="Inter" w:eastAsia="Inter" w:hAnsi="Inter"/>
          <w:b/>
          <w:bCs/>
          <w:i w:val="false"/>
          <w:iCs w:val="false"/>
          <w:caps w:val="false"/>
          <w:color w:val="05132A"/>
          <w:sz w:val="21"/>
          <w:szCs w:val="21"/>
        </w:rPr>
        <w:t xml:space="preserve">Version scheme: major.minor.build (for example 1.0.0.x). </w:t>
      </w:r>
      <w:r>
        <w:rPr>
          <w:rFonts w:ascii="Inter" w:cs="Inter" w:eastAsia="Inter" w:hAnsi="Inter"/>
          <w:b w:val="false"/>
          <w:bCs w:val="false"/>
          <w:i w:val="false"/>
          <w:iCs w:val="false"/>
          <w:caps w:val="false"/>
          <w:color w:val="05132A"/>
          <w:sz w:val="21"/>
          <w:szCs w:val="21"/>
        </w:rPr>
        <w:t xml:space="preserve">The minor number increments for a new automation; the build number increments for a fix. The major number changes only for a significant redesign of the process. Every release has its own number, so any live state can be named exactly.</w:t>
      </w:r>
    </w:p>
    <w:p>
      <w:pPr>
        <w:spacing w:after="160" w:before="0" w:line="276"/>
        <w:jc w:val="left"/>
      </w:pPr>
      <w:r>
        <w:rPr>
          <w:rFonts w:ascii="Inter" w:cs="Inter" w:eastAsia="Inter" w:hAnsi="Inter"/>
          <w:b w:val="false"/>
          <w:bCs w:val="false"/>
          <w:i w:val="false"/>
          <w:iCs w:val="false"/>
          <w:caps w:val="false"/>
          <w:color w:val="05132A"/>
          <w:sz w:val="21"/>
          <w:szCs w:val="21"/>
        </w:rPr>
        <w:t xml:space="preserve">Each released managed package (.zip) is retained per version in the Argelis project store, tagged with its version and release date, so the exact package behind any live state can always be found. This retained set is what rollback draws on (section 7).</w:t>
      </w:r>
    </w:p>
    <w:p>
      <w:pPr>
        <w:spacing w:after="160" w:before="0" w:line="276"/>
        <w:jc w:val="left"/>
      </w:pPr>
      <w:r>
        <w:rPr>
          <w:rFonts w:ascii="Inter" w:cs="Inter" w:eastAsia="Inter" w:hAnsi="Inter"/>
          <w:b w:val="false"/>
          <w:bCs w:val="false"/>
          <w:i w:val="false"/>
          <w:iCs w:val="false"/>
          <w:caps w:val="false"/>
          <w:color w:val="05132A"/>
          <w:sz w:val="21"/>
          <w:szCs w:val="21"/>
        </w:rPr>
        <w:t xml:space="preserve">The unpacked source of the solution is committed to an Azure DevOps Git repository, so every change is diffable and recoverable and the build history is not held inside the Power Platform alone.</w:t>
      </w:r>
    </w:p>
    <w:p>
      <w:pPr>
        <w:pStyle w:val="Heading1"/>
        <w:pBdr>
          <w:bottom w:val="single" w:color="C99A52" w:sz="12" w:space="6"/>
        </w:pBdr>
        <w:spacing w:after="160" w:before="360"/>
      </w:pPr>
      <w:r>
        <w:rPr>
          <w:rFonts w:ascii="Montserrat" w:cs="Montserrat" w:eastAsia="Montserrat" w:hAnsi="Montserrat"/>
          <w:b/>
          <w:bCs/>
          <w:i w:val="false"/>
          <w:iCs w:val="false"/>
          <w:caps w:val="false"/>
          <w:color w:val="05132A"/>
          <w:sz w:val="30"/>
          <w:szCs w:val="30"/>
        </w:rPr>
        <w:t xml:space="preserve">7. Rollback</w:t>
      </w:r>
    </w:p>
    <w:p>
      <w:pPr>
        <w:spacing w:after="160" w:before="0" w:line="276"/>
        <w:jc w:val="left"/>
      </w:pPr>
      <w:r>
        <w:rPr>
          <w:rFonts w:ascii="Inter" w:cs="Inter" w:eastAsia="Inter" w:hAnsi="Inter"/>
          <w:b w:val="false"/>
          <w:bCs w:val="false"/>
          <w:i w:val="false"/>
          <w:iCs w:val="false"/>
          <w:caps w:val="false"/>
          <w:color w:val="05132A"/>
          <w:sz w:val="21"/>
          <w:szCs w:val="21"/>
        </w:rPr>
        <w:t xml:space="preserve">Because PROD only ever receives managed solutions, rolling back means re-importing the previous managed package — the retained .zip for the version that was live before. The steps are:</w:t>
      </w:r>
    </w:p>
    <w:p>
      <w:pPr>
        <w:pStyle w:val="ListParagraph"/>
        <w:numPr>
          <w:ilvl w:val="0"/>
          <w:numId w:val="3"/>
        </w:numPr>
        <w:spacing w:after="90" w:line="264"/>
      </w:pPr>
      <w:r>
        <w:rPr>
          <w:rFonts w:ascii="Inter" w:cs="Inter" w:eastAsia="Inter" w:hAnsi="Inter"/>
          <w:b w:val="false"/>
          <w:bCs w:val="false"/>
          <w:i w:val="false"/>
          <w:iCs w:val="false"/>
          <w:caps w:val="false"/>
          <w:color w:val="05132A"/>
          <w:sz w:val="21"/>
          <w:szCs w:val="21"/>
        </w:rPr>
        <w:t xml:space="preserve">Identify the prior version's retained .zip from the Argelis project store.</w:t>
      </w:r>
    </w:p>
    <w:p>
      <w:pPr>
        <w:pStyle w:val="ListParagraph"/>
        <w:numPr>
          <w:ilvl w:val="0"/>
          <w:numId w:val="3"/>
        </w:numPr>
        <w:spacing w:after="90" w:line="264"/>
      </w:pPr>
      <w:r>
        <w:rPr>
          <w:rFonts w:ascii="Inter" w:cs="Inter" w:eastAsia="Inter" w:hAnsi="Inter"/>
          <w:b w:val="false"/>
          <w:bCs w:val="false"/>
          <w:i w:val="false"/>
          <w:iCs w:val="false"/>
          <w:caps w:val="false"/>
          <w:color w:val="05132A"/>
          <w:sz w:val="21"/>
          <w:szCs w:val="21"/>
        </w:rPr>
        <w:t xml:space="preserve">Disable the live triggers so no new application enters mid-rollback.</w:t>
      </w:r>
    </w:p>
    <w:p>
      <w:pPr>
        <w:pStyle w:val="ListParagraph"/>
        <w:numPr>
          <w:ilvl w:val="0"/>
          <w:numId w:val="3"/>
        </w:numPr>
        <w:spacing w:after="90" w:line="264"/>
      </w:pPr>
      <w:r>
        <w:rPr>
          <w:rFonts w:ascii="Inter" w:cs="Inter" w:eastAsia="Inter" w:hAnsi="Inter"/>
          <w:b w:val="false"/>
          <w:bCs w:val="false"/>
          <w:i w:val="false"/>
          <w:iCs w:val="false"/>
          <w:caps w:val="false"/>
          <w:color w:val="05132A"/>
          <w:sz w:val="21"/>
          <w:szCs w:val="21"/>
        </w:rPr>
        <w:t xml:space="preserve">Import the prior managed package into PROD through Pipelines.</w:t>
      </w:r>
    </w:p>
    <w:p>
      <w:pPr>
        <w:pStyle w:val="ListParagraph"/>
        <w:numPr>
          <w:ilvl w:val="0"/>
          <w:numId w:val="3"/>
        </w:numPr>
        <w:spacing w:after="90" w:line="264"/>
      </w:pPr>
      <w:r>
        <w:rPr>
          <w:rFonts w:ascii="Inter" w:cs="Inter" w:eastAsia="Inter" w:hAnsi="Inter"/>
          <w:b w:val="false"/>
          <w:bCs w:val="false"/>
          <w:i w:val="false"/>
          <w:iCs w:val="false"/>
          <w:caps w:val="false"/>
          <w:color w:val="05132A"/>
          <w:sz w:val="21"/>
          <w:szCs w:val="21"/>
        </w:rPr>
        <w:t xml:space="preserve">Confirm connection references and environment variables still resolve to their PROD values.</w:t>
      </w:r>
    </w:p>
    <w:p>
      <w:pPr>
        <w:pStyle w:val="ListParagraph"/>
        <w:numPr>
          <w:ilvl w:val="0"/>
          <w:numId w:val="3"/>
        </w:numPr>
        <w:spacing w:after="90" w:line="264"/>
      </w:pPr>
      <w:r>
        <w:rPr>
          <w:rFonts w:ascii="Inter" w:cs="Inter" w:eastAsia="Inter" w:hAnsi="Inter"/>
          <w:b w:val="false"/>
          <w:bCs w:val="false"/>
          <w:i w:val="false"/>
          <w:iCs w:val="false"/>
          <w:caps w:val="false"/>
          <w:color w:val="05132A"/>
          <w:sz w:val="21"/>
          <w:szCs w:val="21"/>
        </w:rPr>
        <w:t xml:space="preserve">Smoke-test with one controlled application, then re-enable the live triggers.</w:t>
      </w:r>
    </w:p>
    <w:p>
      <w:pPr>
        <w:spacing w:after="160" w:before="0" w:line="276"/>
        <w:jc w:val="left"/>
      </w:pPr>
      <w:r>
        <w:rPr>
          <w:rFonts w:ascii="Inter" w:cs="Inter" w:eastAsia="Inter" w:hAnsi="Inter"/>
          <w:b/>
          <w:bCs/>
          <w:i w:val="false"/>
          <w:iCs w:val="false"/>
          <w:caps w:val="false"/>
          <w:color w:val="05132A"/>
          <w:sz w:val="21"/>
          <w:szCs w:val="21"/>
        </w:rPr>
        <w:t xml:space="preserve">Data is not touched by a rollback. </w:t>
      </w:r>
      <w:r>
        <w:rPr>
          <w:rFonts w:ascii="Inter" w:cs="Inter" w:eastAsia="Inter" w:hAnsi="Inter"/>
          <w:b w:val="false"/>
          <w:bCs w:val="false"/>
          <w:i w:val="false"/>
          <w:iCs w:val="false"/>
          <w:caps w:val="false"/>
          <w:color w:val="05132A"/>
          <w:sz w:val="21"/>
          <w:szCs w:val="21"/>
        </w:rPr>
        <w:t xml:space="preserve">A solution rollback reverts only logic and configuration; the Dataverse tables (Applicant, Application, Review, Grant and the rest) are unaffected, so no application or payment record is lost.</w:t>
      </w:r>
    </w:p>
    <w:p>
      <w:pPr>
        <w:spacing w:after="160" w:before="0" w:line="276"/>
        <w:jc w:val="left"/>
      </w:pPr>
      <w:r>
        <w:rPr>
          <w:rFonts w:ascii="Inter" w:cs="Inter" w:eastAsia="Inter" w:hAnsi="Inter"/>
          <w:b w:val="false"/>
          <w:bCs w:val="false"/>
          <w:i w:val="false"/>
          <w:iCs w:val="false"/>
          <w:caps w:val="false"/>
          <w:color w:val="05132A"/>
          <w:sz w:val="21"/>
          <w:szCs w:val="21"/>
        </w:rPr>
        <w:t xml:space="preserve">Roll back when a deployed change breaks the live process or produces wrong results and the previous version was sound. Apply a forward hotfix instead when the problem is small, well understood and quicker to correct in DEV and re-promote as a new build than to revert — for example a wording change or a single-condition fix. When in doubt, roll back first to restore service, then fix forward.</w:t>
      </w:r>
    </w:p>
    <w:p>
      <w:pPr>
        <w:pStyle w:val="Heading1"/>
        <w:pBdr>
          <w:bottom w:val="single" w:color="C99A52" w:sz="12" w:space="6"/>
        </w:pBdr>
        <w:spacing w:after="160" w:before="360"/>
      </w:pPr>
      <w:r>
        <w:rPr>
          <w:rFonts w:ascii="Montserrat" w:cs="Montserrat" w:eastAsia="Montserrat" w:hAnsi="Montserrat"/>
          <w:b/>
          <w:bCs/>
          <w:i w:val="false"/>
          <w:iCs w:val="false"/>
          <w:caps w:val="false"/>
          <w:color w:val="05132A"/>
          <w:sz w:val="30"/>
          <w:szCs w:val="30"/>
        </w:rPr>
        <w:t xml:space="preserve">8. Release log</w:t>
      </w:r>
    </w:p>
    <w:p>
      <w:pPr>
        <w:spacing w:after="160" w:before="0" w:line="276"/>
        <w:jc w:val="left"/>
      </w:pPr>
      <w:r>
        <w:rPr>
          <w:rFonts w:ascii="Inter" w:cs="Inter" w:eastAsia="Inter" w:hAnsi="Inter"/>
          <w:b w:val="false"/>
          <w:bCs w:val="false"/>
          <w:i w:val="false"/>
          <w:iCs w:val="false"/>
          <w:caps w:val="false"/>
          <w:color w:val="05132A"/>
          <w:sz w:val="21"/>
          <w:szCs w:val="21"/>
        </w:rPr>
        <w:t xml:space="preserve">Record every promotion here, newest at the bottom. The first row is the initial PROD baseline; later rows are filled in at each release.</w:t>
      </w:r>
    </w:p>
    <w:tbl>
      <w:tblPr>
        <w:tblW w:type="dxa" w:w="9026"/>
        <w:tblBorders>
          <w:top w:val="single" w:color="D9DDE3" w:sz="4"/>
          <w:left w:val="single" w:color="D9DDE3" w:sz="4"/>
          <w:bottom w:val="single" w:color="D9DDE3" w:sz="4"/>
          <w:right w:val="single" w:color="D9DDE3" w:sz="4"/>
          <w:insideH w:val="single" w:color="D9DDE3" w:sz="4"/>
          <w:insideV w:val="single" w:color="D9DDE3" w:sz="4"/>
        </w:tblBorders>
      </w:tblPr>
      <w:tblGrid>
        <w:gridCol w:w="1200"/>
        <w:gridCol w:w="1400"/>
        <w:gridCol w:w="3026"/>
        <w:gridCol w:w="1600"/>
        <w:gridCol w:w="1800"/>
      </w:tblGrid>
      <w:tr>
        <w:trPr>
          <w:tblHeader/>
        </w:trPr>
        <w:tc>
          <w:tcPr>
            <w:tcW w:type="dxa" w:w="1200"/>
            <w:shd w:fill="05132A" w:color="auto" w:val="clear"/>
            <w:tcMar>
              <w:top w:type="dxa" w:w="80"/>
              <w:left w:type="dxa" w:w="110"/>
              <w:bottom w:type="dxa" w:w="80"/>
              <w:right w:type="dxa" w:w="110"/>
            </w:tcMar>
          </w:tcPr>
          <w:p>
            <w:pPr>
              <w:spacing w:after="0" w:line="252"/>
            </w:pPr>
            <w:r>
              <w:rPr>
                <w:rFonts w:ascii="Montserrat" w:cs="Montserrat" w:eastAsia="Montserrat" w:hAnsi="Montserrat"/>
                <w:b/>
                <w:bCs/>
                <w:i w:val="false"/>
                <w:iCs w:val="false"/>
                <w:caps w:val="false"/>
                <w:color w:val="FFFFFF"/>
                <w:sz w:val="19"/>
                <w:szCs w:val="19"/>
              </w:rPr>
              <w:t xml:space="preserve">Version</w:t>
            </w:r>
          </w:p>
        </w:tc>
        <w:tc>
          <w:tcPr>
            <w:tcW w:type="dxa" w:w="1400"/>
            <w:shd w:fill="05132A" w:color="auto" w:val="clear"/>
            <w:tcMar>
              <w:top w:type="dxa" w:w="80"/>
              <w:left w:type="dxa" w:w="110"/>
              <w:bottom w:type="dxa" w:w="80"/>
              <w:right w:type="dxa" w:w="110"/>
            </w:tcMar>
          </w:tcPr>
          <w:p>
            <w:pPr>
              <w:spacing w:after="0" w:line="252"/>
            </w:pPr>
            <w:r>
              <w:rPr>
                <w:rFonts w:ascii="Montserrat" w:cs="Montserrat" w:eastAsia="Montserrat" w:hAnsi="Montserrat"/>
                <w:b/>
                <w:bCs/>
                <w:i w:val="false"/>
                <w:iCs w:val="false"/>
                <w:caps w:val="false"/>
                <w:color w:val="FFFFFF"/>
                <w:sz w:val="19"/>
                <w:szCs w:val="19"/>
              </w:rPr>
              <w:t xml:space="preserve">Date</w:t>
            </w:r>
          </w:p>
        </w:tc>
        <w:tc>
          <w:tcPr>
            <w:tcW w:type="dxa" w:w="3026"/>
            <w:shd w:fill="05132A" w:color="auto" w:val="clear"/>
            <w:tcMar>
              <w:top w:type="dxa" w:w="80"/>
              <w:left w:type="dxa" w:w="110"/>
              <w:bottom w:type="dxa" w:w="80"/>
              <w:right w:type="dxa" w:w="110"/>
            </w:tcMar>
          </w:tcPr>
          <w:p>
            <w:pPr>
              <w:spacing w:after="0" w:line="252"/>
            </w:pPr>
            <w:r>
              <w:rPr>
                <w:rFonts w:ascii="Montserrat" w:cs="Montserrat" w:eastAsia="Montserrat" w:hAnsi="Montserrat"/>
                <w:b/>
                <w:bCs/>
                <w:i w:val="false"/>
                <w:iCs w:val="false"/>
                <w:caps w:val="false"/>
                <w:color w:val="FFFFFF"/>
                <w:sz w:val="19"/>
                <w:szCs w:val="19"/>
              </w:rPr>
              <w:t xml:space="preserve">Change</w:t>
            </w:r>
          </w:p>
        </w:tc>
        <w:tc>
          <w:tcPr>
            <w:tcW w:type="dxa" w:w="1600"/>
            <w:shd w:fill="05132A" w:color="auto" w:val="clear"/>
            <w:tcMar>
              <w:top w:type="dxa" w:w="80"/>
              <w:left w:type="dxa" w:w="110"/>
              <w:bottom w:type="dxa" w:w="80"/>
              <w:right w:type="dxa" w:w="110"/>
            </w:tcMar>
          </w:tcPr>
          <w:p>
            <w:pPr>
              <w:spacing w:after="0" w:line="252"/>
            </w:pPr>
            <w:r>
              <w:rPr>
                <w:rFonts w:ascii="Montserrat" w:cs="Montserrat" w:eastAsia="Montserrat" w:hAnsi="Montserrat"/>
                <w:b/>
                <w:bCs/>
                <w:i w:val="false"/>
                <w:iCs w:val="false"/>
                <w:caps w:val="false"/>
                <w:color w:val="FFFFFF"/>
                <w:sz w:val="19"/>
                <w:szCs w:val="19"/>
              </w:rPr>
              <w:t xml:space="preserve">Deployed by</w:t>
            </w:r>
          </w:p>
        </w:tc>
        <w:tc>
          <w:tcPr>
            <w:tcW w:type="dxa" w:w="1800"/>
            <w:shd w:fill="05132A" w:color="auto" w:val="clear"/>
            <w:tcMar>
              <w:top w:type="dxa" w:w="80"/>
              <w:left w:type="dxa" w:w="110"/>
              <w:bottom w:type="dxa" w:w="80"/>
              <w:right w:type="dxa" w:w="110"/>
            </w:tcMar>
          </w:tcPr>
          <w:p>
            <w:pPr>
              <w:spacing w:after="0" w:line="252"/>
            </w:pPr>
            <w:r>
              <w:rPr>
                <w:rFonts w:ascii="Montserrat" w:cs="Montserrat" w:eastAsia="Montserrat" w:hAnsi="Montserrat"/>
                <w:b/>
                <w:bCs/>
                <w:i w:val="false"/>
                <w:iCs w:val="false"/>
                <w:caps w:val="false"/>
                <w:color w:val="FFFFFF"/>
                <w:sz w:val="19"/>
                <w:szCs w:val="19"/>
              </w:rPr>
              <w:t xml:space="preserve">Rollback package</w:t>
            </w:r>
          </w:p>
        </w:tc>
      </w:tr>
      <w:tr>
        <w:tc>
          <w:tcPr>
            <w:tcW w:type="dxa" w:w="12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1.0.0.0</w:t>
            </w:r>
          </w:p>
        </w:tc>
        <w:tc>
          <w:tcPr>
            <w:tcW w:type="dxa" w:w="14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[TBC — confirm]</w:t>
            </w:r>
          </w:p>
        </w:tc>
        <w:tc>
          <w:tcPr>
            <w:tcW w:type="dxa" w:w="3026"/>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Initial PROD baseline (first managed import)</w:t>
            </w:r>
          </w:p>
        </w:tc>
        <w:tc>
          <w:tcPr>
            <w:tcW w:type="dxa" w:w="16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[TBC — confirm]</w:t>
            </w:r>
          </w:p>
        </w:tc>
        <w:tc>
          <w:tcPr>
            <w:tcW w:type="dxa" w:w="18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n/a (first release)</w:t>
            </w:r>
          </w:p>
        </w:tc>
      </w:tr>
      <w:tr>
        <w:tc>
          <w:tcPr>
            <w:tcW w:type="dxa" w:w="12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[TBC]</w:t>
            </w:r>
          </w:p>
        </w:tc>
        <w:tc>
          <w:tcPr>
            <w:tcW w:type="dxa" w:w="14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[TBC]</w:t>
            </w:r>
          </w:p>
        </w:tc>
        <w:tc>
          <w:tcPr>
            <w:tcW w:type="dxa" w:w="3026"/>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[TBC]</w:t>
            </w:r>
          </w:p>
        </w:tc>
        <w:tc>
          <w:tcPr>
            <w:tcW w:type="dxa" w:w="16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[TBC]</w:t>
            </w:r>
          </w:p>
        </w:tc>
        <w:tc>
          <w:tcPr>
            <w:tcW w:type="dxa" w:w="18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[TBC]</w:t>
            </w:r>
          </w:p>
        </w:tc>
      </w:tr>
      <w:tr>
        <w:tc>
          <w:tcPr>
            <w:tcW w:type="dxa" w:w="12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[TBC]</w:t>
            </w:r>
          </w:p>
        </w:tc>
        <w:tc>
          <w:tcPr>
            <w:tcW w:type="dxa" w:w="14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[TBC]</w:t>
            </w:r>
          </w:p>
        </w:tc>
        <w:tc>
          <w:tcPr>
            <w:tcW w:type="dxa" w:w="3026"/>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[TBC]</w:t>
            </w:r>
          </w:p>
        </w:tc>
        <w:tc>
          <w:tcPr>
            <w:tcW w:type="dxa" w:w="16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[TBC]</w:t>
            </w:r>
          </w:p>
        </w:tc>
        <w:tc>
          <w:tcPr>
            <w:tcW w:type="dxa" w:w="18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[TBC]</w:t>
            </w:r>
          </w:p>
        </w:tc>
      </w:tr>
    </w:tbl>
    <w:p>
      <w:pPr>
        <w:pStyle w:val="Heading1"/>
        <w:pBdr>
          <w:bottom w:val="single" w:color="C99A52" w:sz="12" w:space="6"/>
        </w:pBdr>
        <w:spacing w:after="160" w:before="360"/>
      </w:pPr>
      <w:r>
        <w:rPr>
          <w:rFonts w:ascii="Montserrat" w:cs="Montserrat" w:eastAsia="Montserrat" w:hAnsi="Montserrat"/>
          <w:b/>
          <w:bCs/>
          <w:i w:val="false"/>
          <w:iCs w:val="false"/>
          <w:caps w:val="false"/>
          <w:color w:val="05132A"/>
          <w:sz w:val="30"/>
          <w:szCs w:val="30"/>
        </w:rPr>
        <w:t xml:space="preserve">9. Dependencies and next steps</w:t>
      </w:r>
    </w:p>
    <w:p>
      <w:pPr>
        <w:spacing w:after="160" w:before="0" w:line="276"/>
        <w:jc w:val="left"/>
      </w:pPr>
      <w:r>
        <w:rPr>
          <w:rFonts w:ascii="Inter" w:cs="Inter" w:eastAsia="Inter" w:hAnsi="Inter"/>
          <w:b w:val="false"/>
          <w:bCs w:val="false"/>
          <w:i w:val="false"/>
          <w:iCs w:val="false"/>
          <w:caps w:val="false"/>
          <w:color w:val="05132A"/>
          <w:sz w:val="21"/>
          <w:szCs w:val="21"/>
        </w:rPr>
        <w:t xml:space="preserve">This runbook cannot be exercised until two earlier tasks complete. WBS 0.2 (Power Platform environment setup) must deliver the configured DEV and PROD environments. WBS 0.3 (service account setup) must deliver svc-grantautomation@revitalise.org and its credential store; that task is currently waiting for Wanstor, and no promotion to PROD happens until it is done.</w:t>
      </w:r>
    </w:p>
    <w:p>
      <w:pPr>
        <w:spacing w:after="160" w:before="0" w:line="276"/>
        <w:jc w:val="left"/>
      </w:pPr>
      <w:r>
        <w:rPr>
          <w:rFonts w:ascii="Inter" w:cs="Inter" w:eastAsia="Inter" w:hAnsi="Inter"/>
          <w:b w:val="false"/>
          <w:bCs w:val="false"/>
          <w:i w:val="false"/>
          <w:iCs w:val="false"/>
          <w:caps w:val="false"/>
          <w:color w:val="05132A"/>
          <w:sz w:val="21"/>
          <w:szCs w:val="21"/>
        </w:rPr>
        <w:t xml:space="preserve">Once those are in place, this runbook governs every later phase's deployments. Each build task that produces a change to the solution follows these steps to reach PROD, and the release log becomes the running record of what is live.</w:t>
      </w:r>
    </w:p>
    <w:p>
      <w:pPr>
        <w:pStyle w:val="ListParagraph"/>
        <w:numPr>
          <w:ilvl w:val="0"/>
          <w:numId w:val="2"/>
        </w:numPr>
        <w:spacing w:after="90" w:line="264"/>
      </w:pPr>
      <w:r>
        <w:rPr>
          <w:rFonts w:ascii="Inter" w:cs="Inter" w:eastAsia="Inter" w:hAnsi="Inter"/>
          <w:b w:val="false"/>
          <w:bCs w:val="false"/>
          <w:i w:val="false"/>
          <w:iCs w:val="false"/>
          <w:caps w:val="false"/>
          <w:color w:val="05132A"/>
          <w:sz w:val="21"/>
          <w:szCs w:val="21"/>
        </w:rPr>
        <w:t xml:space="preserve">Depends on: WBS 0.2 (environments), WBS 0.3 (service account — waiting for Wanstor).</w:t>
      </w:r>
    </w:p>
    <w:p>
      <w:pPr>
        <w:pStyle w:val="ListParagraph"/>
        <w:numPr>
          <w:ilvl w:val="0"/>
          <w:numId w:val="2"/>
        </w:numPr>
        <w:spacing w:after="90" w:line="264"/>
      </w:pPr>
      <w:r>
        <w:rPr>
          <w:rFonts w:ascii="Inter" w:cs="Inter" w:eastAsia="Inter" w:hAnsi="Inter"/>
          <w:b w:val="false"/>
          <w:bCs w:val="false"/>
          <w:i w:val="false"/>
          <w:iCs w:val="false"/>
          <w:caps w:val="false"/>
          <w:color w:val="05132A"/>
          <w:sz w:val="21"/>
          <w:szCs w:val="21"/>
        </w:rPr>
        <w:t xml:space="preserve">Governs: every promotion to PROD from Phase 1 onward.</w:t>
      </w:r>
    </w:p>
    <w:p>
      <w:pPr>
        <w:pStyle w:val="ListParagraph"/>
        <w:numPr>
          <w:ilvl w:val="0"/>
          <w:numId w:val="2"/>
        </w:numPr>
        <w:spacing w:after="90" w:line="264"/>
      </w:pPr>
      <w:r>
        <w:rPr>
          <w:rFonts w:ascii="Inter" w:cs="Inter" w:eastAsia="Inter" w:hAnsi="Inter"/>
          <w:b w:val="false"/>
          <w:bCs w:val="false"/>
          <w:i w:val="false"/>
          <w:iCs w:val="false"/>
          <w:caps w:val="false"/>
          <w:color w:val="05132A"/>
          <w:sz w:val="21"/>
          <w:szCs w:val="21"/>
        </w:rPr>
        <w:t xml:space="preserve">Aligns with: Security Model (WBS 0.5), Data Governance Framework (WBS 0.7), Governance Runbook (WBS 0.8).</w:t>
      </w:r>
    </w:p>
    <w:p>
      <w:pPr>
        <w:pBdr>
          <w:top w:val="single" w:color="C99A52" w:sz="8" w:space="8"/>
        </w:pBdr>
        <w:spacing w:after="0" w:before="480"/>
      </w:pPr>
      <w:r>
        <w:rPr>
          <w:rFonts w:ascii="Inter" w:cs="Inter" w:eastAsia="Inter" w:hAnsi="Inter"/>
          <w:b w:val="false"/>
          <w:bCs w:val="false"/>
          <w:i/>
          <w:iCs/>
          <w:caps w:val="false"/>
          <w:color w:val="8A9099"/>
          <w:sz w:val="18"/>
          <w:szCs w:val="18"/>
        </w:rPr>
        <w:t xml:space="preserve">Prepared by Xander Lykopoulos · Argelis Consultancy · Architectuur tussen ambitie en IT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DE3" w:sz="3" w:space="6"/>
      </w:pBdr>
      <w:tabs>
        <w:tab w:val="right" w:pos="9026"/>
      </w:tabs>
      <w:spacing w:before="60"/>
    </w:pPr>
    <w:r>
      <w:rPr>
        <w:rFonts w:ascii="Inter" w:cs="Inter" w:eastAsia="Inter" w:hAnsi="Inter"/>
        <w:b w:val="false"/>
        <w:bCs w:val="false"/>
        <w:i w:val="false"/>
        <w:iCs w:val="false"/>
        <w:caps w:val="false"/>
        <w:color w:val="8A9099"/>
        <w:sz w:val="15"/>
        <w:szCs w:val="15"/>
      </w:rPr>
      <w:t xml:space="preserve">Argelis Consultancy</w:t>
    </w:r>
    <w:r>
      <w:rPr>
        <w:rFonts w:ascii="Inter" w:cs="Inter" w:eastAsia="Inter" w:hAnsi="Inter"/>
      </w:rPr>
      <w:t xml:space="preserve">	</w:t>
    </w:r>
    <w:r>
      <w:rPr>
        <w:rFonts w:ascii="Inter" w:cs="Inter" w:eastAsia="Inter" w:hAnsi="Inter"/>
        <w:color w:val="8A9099"/>
        <w:sz w:val="15"/>
        <w:szCs w:val="15"/>
      </w:rPr>
      <w:t xml:space="preserve">ALM Runbook — Revitalise Grant Automation  ·  v0.1 — Draft · Confidential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C99A52"/>
      </w:rPr>
    </w:lvl>
  </w:abstractNum>
  <w:abstractNum w:abstractNumId="3"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0513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pPr>
    <w:rPr>
      <w:rFonts w:ascii="Montserrat" w:cs="Montserrat" w:eastAsia="Montserrat" w:hAnsi="Montserrat"/>
      <w:b/>
      <w:bCs/>
      <w:color w:val="05132A"/>
      <w:sz w:val="30"/>
      <w:szCs w:val="30"/>
    </w:rPr>
  </w:style>
  <w:style w:type="paragraph" w:styleId="Heading2">
    <w:name w:val="Heading 2"/>
    <w:basedOn w:val="Normal"/>
    <w:next w:val="Normal"/>
    <w:qFormat/>
    <w:pPr>
      <w:spacing w:after="120" w:before="260"/>
    </w:pPr>
    <w:rPr>
      <w:rFonts w:ascii="Montserrat" w:cs="Montserrat" w:eastAsia="Montserrat" w:hAnsi="Montserrat"/>
      <w:b/>
      <w:bCs/>
      <w:color w:val="05132A"/>
      <w:sz w:val="24"/>
      <w:szCs w:val="24"/>
    </w:rPr>
  </w:style>
  <w:style w:type="paragraph" w:styleId="Heading3">
    <w:name w:val="Heading 3"/>
    <w:basedOn w:val="Normal"/>
    <w:next w:val="Normal"/>
    <w:qFormat/>
    <w:pPr>
      <w:spacing w:after="100" w:before="200"/>
    </w:pPr>
    <w:rPr>
      <w:rFonts w:ascii="Montserrat" w:cs="Montserrat" w:eastAsia="Montserrat" w:hAnsi="Montserrat"/>
      <w:b/>
      <w:bCs/>
      <w:color w:val="C99A52"/>
      <w:sz w:val="21"/>
      <w:szCs w:val="21"/>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image" Target="media/66617952c1fc47261b9550e294056fd7eaee90ee.png"/><Relationship Id="rId3" Type="http://schemas.openxmlformats.org/officeDocument/2006/relationships/footnotes" Target="footnote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BFD6B84F7029419816FFCF5AF812DE" ma:contentTypeVersion="9" ma:contentTypeDescription="Create a new document." ma:contentTypeScope="" ma:versionID="ae75f7d6110eb3c01e30b5864ecce8d9">
  <xsd:schema xmlns:xsd="http://www.w3.org/2001/XMLSchema" xmlns:xs="http://www.w3.org/2001/XMLSchema" xmlns:p="http://schemas.microsoft.com/office/2006/metadata/properties" xmlns:ns2="f28f5036-0c97-4fb2-9995-e6511ad4535b" xmlns:ns3="d3a2e4d4-5189-48ac-a210-e1294fbd99f3" targetNamespace="http://schemas.microsoft.com/office/2006/metadata/properties" ma:root="true" ma:fieldsID="5f758225586994ab2ed7147b7dc97d7e" ns2:_="" ns3:_="">
    <xsd:import namespace="f28f5036-0c97-4fb2-9995-e6511ad4535b"/>
    <xsd:import namespace="d3a2e4d4-5189-48ac-a210-e1294fbd99f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8f5036-0c97-4fb2-9995-e6511ad453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edfda32-ed56-4dd9-bd64-14fdcb8b12d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d3a2e4d4-5189-48ac-a210-e1294fbd99f3"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09b44fd-1af0-4c99-971b-3abc3e199a55}" ma:internalName="TaxCatchAll" ma:showField="CatchAllData" ma:web="d3a2e4d4-5189-48ac-a210-e1294fbd99f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8f5036-0c97-4fb2-9995-e6511ad4535b">
      <Terms xmlns="http://schemas.microsoft.com/office/infopath/2007/PartnerControls"/>
    </lcf76f155ced4ddcb4097134ff3c332f>
    <TaxCatchAll xmlns="d3a2e4d4-5189-48ac-a210-e1294fbd99f3" xsi:nil="true"/>
  </documentManagement>
</p:properties>
</file>

<file path=customXml/itemProps1.xml><?xml version="1.0" encoding="utf-8"?>
<ds:datastoreItem xmlns:ds="http://schemas.openxmlformats.org/officeDocument/2006/customXml" ds:itemID="{D661141B-6E07-4926-B50D-7DFEED2A9C0A}"/>
</file>

<file path=customXml/itemProps2.xml><?xml version="1.0" encoding="utf-8"?>
<ds:datastoreItem xmlns:ds="http://schemas.openxmlformats.org/officeDocument/2006/customXml" ds:itemID="{154800D6-D2B4-4E2F-87FE-95A21AA59B37}"/>
</file>

<file path=customXml/itemProps3.xml><?xml version="1.0" encoding="utf-8"?>
<ds:datastoreItem xmlns:ds="http://schemas.openxmlformats.org/officeDocument/2006/customXml" ds:itemID="{E721783C-EE62-46F1-931B-166D458F902B}"/>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ALM runbook (WBS 0.6)</dc:title>
  <dc:creator>Argelis Consultancy</dc:creator>
  <cp:lastModifiedBy>Un-named</cp:lastModifiedBy>
  <cp:revision>1</cp:revision>
  <dcterms:created xsi:type="dcterms:W3CDTF">2026-07-15T12:05:11Z</dcterms:created>
  <dcterms:modified xsi:type="dcterms:W3CDTF">2026-07-15T12:05:11Z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0x01010019BFD6B84F7029419816FFCF5AF812DE</vt:lpwstr>
  </property>
</Properties>
</file>