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20" w:before="240"/>
      </w:pPr>
      <w:r>
        <w:drawing>
          <wp:inline distT="0" distB="0" distL="0" distR="0">
            <wp:extent cx="1866900" cy="514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866900" cy="514350"/>
                    </a:xfrm>
                    <a:prstGeom prst="rect">
                      <a:avLst/>
                    </a:prstGeom>
                  </pic:spPr>
                </pic:pic>
              </a:graphicData>
            </a:graphic>
          </wp:inline>
        </w:drawing>
      </w:r>
    </w:p>
    <w:p>
      <w:pPr>
        <w:spacing w:after="120"/>
      </w:pPr>
      <w:r>
        <w:rPr>
          <w:rFonts w:ascii="Montserrat" w:cs="Montserrat" w:eastAsia="Montserrat" w:hAnsi="Montserrat"/>
          <w:b/>
          <w:bCs/>
          <w:i w:val="false"/>
          <w:iCs w:val="false"/>
          <w:caps/>
          <w:color w:val="C99A52"/>
          <w:spacing w:val="40"/>
          <w:sz w:val="20"/>
          <w:szCs w:val="20"/>
        </w:rPr>
        <w:t xml:space="preserve">DATA GOVERNANCE FRAMEWORK</w:t>
      </w:r>
    </w:p>
    <w:p>
      <w:pPr>
        <w:spacing w:after="60"/>
      </w:pPr>
      <w:r>
        <w:rPr>
          <w:rFonts w:ascii="Montserrat" w:cs="Montserrat" w:eastAsia="Montserrat" w:hAnsi="Montserrat"/>
          <w:b/>
          <w:bCs/>
          <w:i w:val="false"/>
          <w:iCs w:val="false"/>
          <w:caps w:val="false"/>
          <w:color w:val="05132A"/>
          <w:sz w:val="52"/>
          <w:szCs w:val="52"/>
        </w:rPr>
        <w:t xml:space="preserve">Data Governance Framework</w:t>
      </w:r>
    </w:p>
    <w:p>
      <w:pPr>
        <w:spacing w:after="60"/>
      </w:pPr>
    </w:p>
    <w:p>
      <w:pPr>
        <w:pBdr>
          <w:bottom w:val="single" w:color="C99A52" w:sz="12" w:space="8"/>
        </w:pBdr>
        <w:spacing w:after="460" w:line="300"/>
      </w:pPr>
      <w:r>
        <w:rPr>
          <w:rFonts w:ascii="Inter" w:cs="Inter" w:eastAsia="Inter" w:hAnsi="Inter"/>
          <w:b w:val="false"/>
          <w:bCs w:val="false"/>
          <w:i/>
          <w:iCs/>
          <w:caps w:val="false"/>
          <w:color w:val="8A9099"/>
          <w:sz w:val="23"/>
          <w:szCs w:val="23"/>
        </w:rPr>
        <w:t xml:space="preserve">How the Dataverse grant solution holds, protects, retains and deletes personal data.</w:t>
      </w:r>
    </w:p>
    <w:tbl>
      <w:tblPr>
        <w:tblW w:type="dxa" w:w="9026"/>
        <w:tblBorders>
          <w:top w:val="none" w:color="FFFFFF" w:sz="0"/>
          <w:left w:val="none" w:color="FFFFFF" w:sz="0"/>
          <w:bottom w:val="none" w:color="FFFFFF" w:sz="0"/>
          <w:right w:val="none" w:color="FFFFFF" w:sz="0"/>
          <w:insideH w:val="single" w:color="D9DDE3" w:sz="3"/>
          <w:insideV w:val="none" w:color="FFFFFF" w:sz="0"/>
        </w:tblBorders>
      </w:tblPr>
      <w:tblGrid>
        <w:gridCol w:w="2600"/>
        <w:gridCol w:w="6426"/>
      </w:tblGrid>
      <w:tr>
        <w:tc>
          <w:tcPr>
            <w:tcW w:type="dxa" w:w="2600"/>
            <w:tcMar>
              <w:top w:type="dxa" w:w="70"/>
              <w:left w:type="dxa" w:w="0"/>
              <w:bottom w:type="dxa" w:w="70"/>
              <w:right w:type="dxa" w:w="60"/>
            </w:tcMar>
          </w:tcPr>
          <w:p>
            <w:pPr>
              <w:spacing w:after="0"/>
            </w:pPr>
            <w:r>
              <w:rPr>
                <w:rFonts w:ascii="Montserrat" w:cs="Montserrat" w:eastAsia="Montserrat" w:hAnsi="Montserrat"/>
                <w:b/>
                <w:bCs/>
                <w:i w:val="false"/>
                <w:iCs w:val="false"/>
                <w:caps/>
                <w:color w:val="C99A52"/>
                <w:spacing w:val="24"/>
                <w:sz w:val="15"/>
                <w:szCs w:val="15"/>
              </w:rPr>
              <w:t xml:space="preserve">CLIENT</w:t>
            </w:r>
          </w:p>
        </w:tc>
        <w:tc>
          <w:tcPr>
            <w:tcW w:type="dxa" w:w="6426"/>
            <w:tcMar>
              <w:top w:type="dxa" w:w="70"/>
              <w:left w:type="dxa" w:w="0"/>
              <w:bottom w:type="dxa" w:w="70"/>
              <w:right w:type="dxa" w:w="0"/>
            </w:tcMar>
          </w:tcPr>
          <w:p>
            <w:pPr>
              <w:spacing w:after="0"/>
            </w:pPr>
            <w:r>
              <w:rPr>
                <w:rFonts w:ascii="Inter" w:cs="Inter" w:eastAsia="Inter" w:hAnsi="Inter"/>
                <w:b w:val="false"/>
                <w:bCs w:val="false"/>
                <w:i w:val="false"/>
                <w:iCs w:val="false"/>
                <w:caps w:val="false"/>
                <w:color w:val="05132A"/>
                <w:sz w:val="21"/>
                <w:szCs w:val="21"/>
              </w:rPr>
              <w:t xml:space="preserve">Revitalise</w:t>
            </w:r>
          </w:p>
        </w:tc>
      </w:tr>
      <w:tr>
        <w:tc>
          <w:tcPr>
            <w:tcW w:type="dxa" w:w="2600"/>
            <w:tcMar>
              <w:top w:type="dxa" w:w="70"/>
              <w:left w:type="dxa" w:w="0"/>
              <w:bottom w:type="dxa" w:w="70"/>
              <w:right w:type="dxa" w:w="60"/>
            </w:tcMar>
          </w:tcPr>
          <w:p>
            <w:pPr>
              <w:spacing w:after="0"/>
            </w:pPr>
            <w:r>
              <w:rPr>
                <w:rFonts w:ascii="Montserrat" w:cs="Montserrat" w:eastAsia="Montserrat" w:hAnsi="Montserrat"/>
                <w:b/>
                <w:bCs/>
                <w:i w:val="false"/>
                <w:iCs w:val="false"/>
                <w:caps/>
                <w:color w:val="C99A52"/>
                <w:spacing w:val="24"/>
                <w:sz w:val="15"/>
                <w:szCs w:val="15"/>
              </w:rPr>
              <w:t xml:space="preserve">PREPARED BY</w:t>
            </w:r>
          </w:p>
        </w:tc>
        <w:tc>
          <w:tcPr>
            <w:tcW w:type="dxa" w:w="6426"/>
            <w:tcMar>
              <w:top w:type="dxa" w:w="70"/>
              <w:left w:type="dxa" w:w="0"/>
              <w:bottom w:type="dxa" w:w="70"/>
              <w:right w:type="dxa" w:w="0"/>
            </w:tcMar>
          </w:tcPr>
          <w:p>
            <w:pPr>
              <w:spacing w:after="0"/>
            </w:pPr>
            <w:r>
              <w:rPr>
                <w:rFonts w:ascii="Inter" w:cs="Inter" w:eastAsia="Inter" w:hAnsi="Inter"/>
                <w:b w:val="false"/>
                <w:bCs w:val="false"/>
                <w:i w:val="false"/>
                <w:iCs w:val="false"/>
                <w:caps w:val="false"/>
                <w:color w:val="05132A"/>
                <w:sz w:val="21"/>
                <w:szCs w:val="21"/>
              </w:rPr>
              <w:t xml:space="preserve">Xander Lykopoulos — Argelis Consultancy</w:t>
            </w:r>
          </w:p>
        </w:tc>
      </w:tr>
      <w:tr>
        <w:tc>
          <w:tcPr>
            <w:tcW w:type="dxa" w:w="2600"/>
            <w:tcMar>
              <w:top w:type="dxa" w:w="70"/>
              <w:left w:type="dxa" w:w="0"/>
              <w:bottom w:type="dxa" w:w="70"/>
              <w:right w:type="dxa" w:w="60"/>
            </w:tcMar>
          </w:tcPr>
          <w:p>
            <w:pPr>
              <w:spacing w:after="0"/>
            </w:pPr>
            <w:r>
              <w:rPr>
                <w:rFonts w:ascii="Montserrat" w:cs="Montserrat" w:eastAsia="Montserrat" w:hAnsi="Montserrat"/>
                <w:b/>
                <w:bCs/>
                <w:i w:val="false"/>
                <w:iCs w:val="false"/>
                <w:caps/>
                <w:color w:val="C99A52"/>
                <w:spacing w:val="24"/>
                <w:sz w:val="15"/>
                <w:szCs w:val="15"/>
              </w:rPr>
              <w:t xml:space="preserve">DELIVERABLE</w:t>
            </w:r>
          </w:p>
        </w:tc>
        <w:tc>
          <w:tcPr>
            <w:tcW w:type="dxa" w:w="6426"/>
            <w:tcMar>
              <w:top w:type="dxa" w:w="70"/>
              <w:left w:type="dxa" w:w="0"/>
              <w:bottom w:type="dxa" w:w="70"/>
              <w:right w:type="dxa" w:w="0"/>
            </w:tcMar>
          </w:tcPr>
          <w:p>
            <w:pPr>
              <w:spacing w:after="0"/>
            </w:pPr>
            <w:r>
              <w:rPr>
                <w:rFonts w:ascii="Inter" w:cs="Inter" w:eastAsia="Inter" w:hAnsi="Inter"/>
                <w:b w:val="false"/>
                <w:bCs w:val="false"/>
                <w:i w:val="false"/>
                <w:iCs w:val="false"/>
                <w:caps w:val="false"/>
                <w:color w:val="05132A"/>
                <w:sz w:val="21"/>
                <w:szCs w:val="21"/>
              </w:rPr>
              <w:t xml:space="preserve">Data governance framework (WBS 0.7)</w:t>
            </w:r>
          </w:p>
        </w:tc>
      </w:tr>
      <w:tr>
        <w:tc>
          <w:tcPr>
            <w:tcW w:type="dxa" w:w="2600"/>
            <w:tcMar>
              <w:top w:type="dxa" w:w="70"/>
              <w:left w:type="dxa" w:w="0"/>
              <w:bottom w:type="dxa" w:w="70"/>
              <w:right w:type="dxa" w:w="60"/>
            </w:tcMar>
          </w:tcPr>
          <w:p>
            <w:pPr>
              <w:spacing w:after="0"/>
            </w:pPr>
            <w:r>
              <w:rPr>
                <w:rFonts w:ascii="Montserrat" w:cs="Montserrat" w:eastAsia="Montserrat" w:hAnsi="Montserrat"/>
                <w:b/>
                <w:bCs/>
                <w:i w:val="false"/>
                <w:iCs w:val="false"/>
                <w:caps/>
                <w:color w:val="C99A52"/>
                <w:spacing w:val="24"/>
                <w:sz w:val="15"/>
                <w:szCs w:val="15"/>
              </w:rPr>
              <w:t xml:space="preserve">VERSION</w:t>
            </w:r>
          </w:p>
        </w:tc>
        <w:tc>
          <w:tcPr>
            <w:tcW w:type="dxa" w:w="6426"/>
            <w:tcMar>
              <w:top w:type="dxa" w:w="70"/>
              <w:left w:type="dxa" w:w="0"/>
              <w:bottom w:type="dxa" w:w="70"/>
              <w:right w:type="dxa" w:w="0"/>
            </w:tcMar>
          </w:tcPr>
          <w:p>
            <w:pPr>
              <w:spacing w:after="0"/>
            </w:pPr>
            <w:r>
              <w:rPr>
                <w:rFonts w:ascii="Inter" w:cs="Inter" w:eastAsia="Inter" w:hAnsi="Inter"/>
                <w:b w:val="false"/>
                <w:bCs w:val="false"/>
                <w:i w:val="false"/>
                <w:iCs w:val="false"/>
                <w:caps w:val="false"/>
                <w:color w:val="05132A"/>
                <w:sz w:val="21"/>
                <w:szCs w:val="21"/>
              </w:rPr>
              <w:t xml:space="preserve">v0.2 — Draft</w:t>
            </w:r>
          </w:p>
        </w:tc>
      </w:tr>
      <w:tr>
        <w:tc>
          <w:tcPr>
            <w:tcW w:type="dxa" w:w="2600"/>
            <w:tcMar>
              <w:top w:type="dxa" w:w="70"/>
              <w:left w:type="dxa" w:w="0"/>
              <w:bottom w:type="dxa" w:w="70"/>
              <w:right w:type="dxa" w:w="60"/>
            </w:tcMar>
          </w:tcPr>
          <w:p>
            <w:pPr>
              <w:spacing w:after="0"/>
            </w:pPr>
            <w:r>
              <w:rPr>
                <w:rFonts w:ascii="Montserrat" w:cs="Montserrat" w:eastAsia="Montserrat" w:hAnsi="Montserrat"/>
                <w:b/>
                <w:bCs/>
                <w:i w:val="false"/>
                <w:iCs w:val="false"/>
                <w:caps/>
                <w:color w:val="C99A52"/>
                <w:spacing w:val="24"/>
                <w:sz w:val="15"/>
                <w:szCs w:val="15"/>
              </w:rPr>
              <w:t xml:space="preserve">DATE</w:t>
            </w:r>
          </w:p>
        </w:tc>
        <w:tc>
          <w:tcPr>
            <w:tcW w:type="dxa" w:w="6426"/>
            <w:tcMar>
              <w:top w:type="dxa" w:w="70"/>
              <w:left w:type="dxa" w:w="0"/>
              <w:bottom w:type="dxa" w:w="70"/>
              <w:right w:type="dxa" w:w="0"/>
            </w:tcMar>
          </w:tcPr>
          <w:p>
            <w:pPr>
              <w:spacing w:after="0"/>
            </w:pPr>
            <w:r>
              <w:rPr>
                <w:rFonts w:ascii="Inter" w:cs="Inter" w:eastAsia="Inter" w:hAnsi="Inter"/>
                <w:b w:val="false"/>
                <w:bCs w:val="false"/>
                <w:i w:val="false"/>
                <w:iCs w:val="false"/>
                <w:caps w:val="false"/>
                <w:color w:val="05132A"/>
                <w:sz w:val="21"/>
                <w:szCs w:val="21"/>
              </w:rPr>
              <w:t xml:space="preserve">15 July 2026</w:t>
            </w:r>
          </w:p>
        </w:tc>
      </w:tr>
      <w:tr>
        <w:tc>
          <w:tcPr>
            <w:tcW w:type="dxa" w:w="2600"/>
            <w:tcMar>
              <w:top w:type="dxa" w:w="70"/>
              <w:left w:type="dxa" w:w="0"/>
              <w:bottom w:type="dxa" w:w="70"/>
              <w:right w:type="dxa" w:w="60"/>
            </w:tcMar>
          </w:tcPr>
          <w:p>
            <w:pPr>
              <w:spacing w:after="0"/>
            </w:pPr>
            <w:r>
              <w:rPr>
                <w:rFonts w:ascii="Montserrat" w:cs="Montserrat" w:eastAsia="Montserrat" w:hAnsi="Montserrat"/>
                <w:b/>
                <w:bCs/>
                <w:i w:val="false"/>
                <w:iCs w:val="false"/>
                <w:caps/>
                <w:color w:val="C99A52"/>
                <w:spacing w:val="24"/>
                <w:sz w:val="15"/>
                <w:szCs w:val="15"/>
              </w:rPr>
              <w:t xml:space="preserve">STATUS</w:t>
            </w:r>
          </w:p>
        </w:tc>
        <w:tc>
          <w:tcPr>
            <w:tcW w:type="dxa" w:w="6426"/>
            <w:tcMar>
              <w:top w:type="dxa" w:w="70"/>
              <w:left w:type="dxa" w:w="0"/>
              <w:bottom w:type="dxa" w:w="70"/>
              <w:right w:type="dxa" w:w="0"/>
            </w:tcMar>
          </w:tcPr>
          <w:p>
            <w:pPr>
              <w:spacing w:after="0"/>
            </w:pPr>
            <w:r>
              <w:rPr>
                <w:rFonts w:ascii="Inter" w:cs="Inter" w:eastAsia="Inter" w:hAnsi="Inter"/>
                <w:b w:val="false"/>
                <w:bCs w:val="false"/>
                <w:i w:val="false"/>
                <w:iCs w:val="false"/>
                <w:caps w:val="false"/>
                <w:color w:val="05132A"/>
                <w:sz w:val="21"/>
                <w:szCs w:val="21"/>
              </w:rPr>
              <w:t xml:space="preserve">Draft</w:t>
            </w:r>
          </w:p>
        </w:tc>
      </w:tr>
    </w:tbl>
    <w:p>
      <w:pPr>
        <w:spacing w:after="200"/>
      </w:pPr>
    </w:p>
    <w:p>
      <w:pPr>
        <w:spacing w:after="0" w:line="264"/>
      </w:pPr>
      <w:r>
        <w:rPr>
          <w:rFonts w:ascii="Inter" w:cs="Inter" w:eastAsia="Inter" w:hAnsi="Inter"/>
          <w:b w:val="false"/>
          <w:bCs w:val="false"/>
          <w:i w:val="false"/>
          <w:iCs w:val="false"/>
          <w:caps w:val="false"/>
          <w:color w:val="8A9099"/>
          <w:sz w:val="17"/>
          <w:szCs w:val="17"/>
        </w:rPr>
        <w:t xml:space="preserve">v0.2 (15 Jul 2026): rebased from the SharePoint baseline to the agreed Dataverse data model — Dataverse is the system of record; retention and erasure enforced by native Dataverse bulk delete and cascade with a light cross-system helper flow; trustee anonymisation by field-level security rather than a separate pack. Rev 15 Jul 2026: added the operational Error Log table (non-personal) to the classification and deletion-logging sections, alongside the REV | Ops | Failure Alert monitoring flow described in the Governance Runbook. v0.1 (Jul 2026): first draft on the SharePoint baseline.</w:t>
      </w:r>
    </w:p>
    <w:p>
      <w:r>
        <w:br w:type="page"/>
      </w:r>
    </w:p>
    <w:p>
      <w:pPr>
        <w:spacing w:after="160"/>
      </w:pPr>
      <w:r>
        <w:rPr>
          <w:rFonts w:ascii="Montserrat" w:cs="Montserrat" w:eastAsia="Montserrat" w:hAnsi="Montserrat"/>
          <w:b/>
          <w:bCs/>
          <w:i w:val="false"/>
          <w:iCs w:val="false"/>
          <w:caps w:val="false"/>
          <w:color w:val="05132A"/>
          <w:sz w:val="30"/>
          <w:szCs w:val="30"/>
        </w:rPr>
        <w:t xml:space="preserve">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C99A52" w:sz="12" w:space="6"/>
        </w:pBdr>
        <w:spacing w:after="160" w:before="360"/>
      </w:pPr>
      <w:r>
        <w:rPr>
          <w:rFonts w:ascii="Montserrat" w:cs="Montserrat" w:eastAsia="Montserrat" w:hAnsi="Montserrat"/>
          <w:b/>
          <w:bCs/>
          <w:i w:val="false"/>
          <w:iCs w:val="false"/>
          <w:caps w:val="false"/>
          <w:color w:val="05132A"/>
          <w:sz w:val="30"/>
          <w:szCs w:val="30"/>
        </w:rPr>
        <w:t xml:space="preserve">1. Purpose and scope</w:t>
      </w:r>
    </w:p>
    <w:p>
      <w:pPr>
        <w:spacing w:after="160" w:before="0" w:line="276"/>
        <w:jc w:val="left"/>
      </w:pPr>
      <w:r>
        <w:rPr>
          <w:rFonts w:ascii="Inter" w:cs="Inter" w:eastAsia="Inter" w:hAnsi="Inter"/>
          <w:b w:val="false"/>
          <w:bCs w:val="false"/>
          <w:i w:val="false"/>
          <w:iCs w:val="false"/>
          <w:caps w:val="false"/>
          <w:color w:val="05132A"/>
          <w:sz w:val="21"/>
          <w:szCs w:val="21"/>
        </w:rPr>
        <w:t xml:space="preserve">This document sets how the grant application automation handles personal data across its life: what it holds, who is accountable, how long it is kept, how it is backed up, and which connectors it may use. It is the WBS 0.7 deliverable. It takes the retention rules already fixed in the Solution Architecture (v0.4, Section 8) and turns them into a policy the charity can operate and audit against.</w:t>
      </w:r>
    </w:p>
    <w:p>
      <w:pPr>
        <w:spacing w:after="160" w:before="0" w:line="276"/>
        <w:jc w:val="left"/>
      </w:pPr>
      <w:r>
        <w:rPr>
          <w:rFonts w:ascii="Inter" w:cs="Inter" w:eastAsia="Inter" w:hAnsi="Inter"/>
          <w:b w:val="false"/>
          <w:bCs w:val="false"/>
          <w:i w:val="false"/>
          <w:iCs w:val="false"/>
          <w:caps w:val="false"/>
          <w:color w:val="05132A"/>
          <w:sz w:val="21"/>
          <w:szCs w:val="21"/>
        </w:rPr>
        <w:t xml:space="preserve">The solution stores its data in Dataverse. Seven custom tables — Applicant, Application, Review, Grant, Provider, Bank Account and Payment — hold the grant record, with a separate non-personal snapshot table for anonymised statistics. This framework governs that data model, not the earlier SharePoint design.</w:t>
      </w:r>
    </w:p>
    <w:p>
      <w:pPr>
        <w:spacing w:after="160" w:before="0" w:line="276"/>
        <w:jc w:val="left"/>
      </w:pPr>
      <w:r>
        <w:rPr>
          <w:rFonts w:ascii="Inter" w:cs="Inter" w:eastAsia="Inter" w:hAnsi="Inter"/>
          <w:b/>
          <w:bCs/>
          <w:i w:val="false"/>
          <w:iCs w:val="false"/>
          <w:caps w:val="false"/>
          <w:color w:val="05132A"/>
          <w:sz w:val="21"/>
          <w:szCs w:val="21"/>
        </w:rPr>
        <w:t xml:space="preserve">Revitalise is the data controller. </w:t>
      </w:r>
      <w:r>
        <w:rPr>
          <w:rFonts w:ascii="Inter" w:cs="Inter" w:eastAsia="Inter" w:hAnsi="Inter"/>
          <w:b w:val="false"/>
          <w:bCs w:val="false"/>
          <w:i w:val="false"/>
          <w:iCs w:val="false"/>
          <w:caps w:val="false"/>
          <w:color w:val="05132A"/>
          <w:sz w:val="21"/>
          <w:szCs w:val="21"/>
        </w:rPr>
        <w:t xml:space="preserve">Argelis Consultancy builds and configures the solution on Revitalise's instruction, acting as processor. The lawful bases, retention periods, and privacy commitments referenced here are Revitalise's own, taken from its published Privacy Notice (updated 20 February 2026). This framework implements those decisions; it does not change them, and it is not legal advice.</w:t>
      </w:r>
    </w:p>
    <w:tbl>
      <w:tblPr>
        <w:tblW w:type="dxa" w:w="9026"/>
        <w:tblBorders>
          <w:top w:val="none" w:color="FFFFFF" w:sz="0"/>
          <w:left w:val="single" w:color="C99A52" w:sz="24"/>
          <w:bottom w:val="none" w:color="FFFFFF" w:sz="0"/>
          <w:right w:val="none" w:color="FFFFFF" w:sz="0"/>
          <w:insideH w:val="none" w:color="FFFFFF" w:sz="0"/>
          <w:insideV w:val="none" w:color="FFFFFF" w:sz="0"/>
        </w:tblBorders>
      </w:tblPr>
      <w:tblGrid>
        <w:gridCol w:w="9026"/>
      </w:tblGrid>
      <w:tr>
        <w:tc>
          <w:tcPr>
            <w:tcW w:type="dxa" w:w="9026"/>
            <w:shd w:fill="F7F5F2" w:color="auto" w:val="clear"/>
            <w:tcMar>
              <w:top w:type="dxa" w:w="160"/>
              <w:left w:type="dxa" w:w="220"/>
              <w:bottom w:type="dxa" w:w="160"/>
              <w:right w:type="dxa" w:w="220"/>
            </w:tcMar>
          </w:tcPr>
          <w:p>
            <w:pPr>
              <w:spacing w:after="60" w:line="240"/>
            </w:pPr>
            <w:r>
              <w:rPr>
                <w:rFonts w:ascii="Montserrat" w:cs="Montserrat" w:eastAsia="Montserrat" w:hAnsi="Montserrat"/>
                <w:b/>
                <w:bCs/>
                <w:i w:val="false"/>
                <w:iCs w:val="false"/>
                <w:caps/>
                <w:color w:val="C99A52"/>
                <w:spacing w:val="20"/>
                <w:sz w:val="16"/>
                <w:szCs w:val="16"/>
              </w:rPr>
              <w:t xml:space="preserve">In plain terms</w:t>
            </w:r>
          </w:p>
          <w:p>
            <w:pPr>
              <w:spacing w:after="0" w:line="264"/>
            </w:pPr>
            <w:r>
              <w:rPr>
                <w:rFonts w:ascii="Inter" w:cs="Inter" w:eastAsia="Inter" w:hAnsi="Inter"/>
                <w:b w:val="false"/>
                <w:bCs w:val="false"/>
                <w:i w:val="false"/>
                <w:iCs w:val="false"/>
                <w:caps w:val="false"/>
                <w:color w:val="05132A"/>
                <w:sz w:val="21"/>
                <w:szCs w:val="21"/>
              </w:rPr>
              <w:t xml:space="preserve">The charity decides how long to keep people's information and who may see it. This document writes those decisions down as rules the system can follow on its own, and shows how each rule is enforced and recorded — so nobody has to remember to delete a record, and the charity can prove what happened.</w:t>
            </w:r>
          </w:p>
        </w:tc>
      </w:tr>
    </w:tbl>
    <w:p>
      <w:pPr>
        <w:pStyle w:val="Heading3"/>
        <w:spacing w:after="100" w:before="200"/>
      </w:pPr>
      <w:r>
        <w:rPr>
          <w:rFonts w:ascii="Montserrat" w:cs="Montserrat" w:eastAsia="Montserrat" w:hAnsi="Montserrat"/>
          <w:b/>
          <w:bCs/>
          <w:i w:val="false"/>
          <w:iCs w:val="false"/>
          <w:caps w:val="false"/>
          <w:color w:val="C99A52"/>
          <w:sz w:val="21"/>
          <w:szCs w:val="21"/>
        </w:rPr>
        <w:t xml:space="preserve">Out of scope for this document</w:t>
      </w:r>
    </w:p>
    <w:p>
      <w:pPr>
        <w:pStyle w:val="ListParagraph"/>
        <w:numPr>
          <w:ilvl w:val="0"/>
          <w:numId w:val="2"/>
        </w:numPr>
        <w:spacing w:after="90" w:line="264"/>
      </w:pPr>
      <w:r>
        <w:rPr>
          <w:rFonts w:ascii="Inter" w:cs="Inter" w:eastAsia="Inter" w:hAnsi="Inter"/>
          <w:b w:val="false"/>
          <w:bCs w:val="false"/>
          <w:i w:val="false"/>
          <w:iCs w:val="false"/>
          <w:caps w:val="false"/>
          <w:color w:val="05132A"/>
          <w:sz w:val="21"/>
          <w:szCs w:val="21"/>
        </w:rPr>
        <w:t xml:space="preserve">Data Protection Impact Assessment (DPIA) — a later 0.7 artefact, recommended before go-live because the solution processes special-category health data.</w:t>
      </w:r>
    </w:p>
    <w:p>
      <w:pPr>
        <w:pStyle w:val="ListParagraph"/>
        <w:numPr>
          <w:ilvl w:val="0"/>
          <w:numId w:val="2"/>
        </w:numPr>
        <w:spacing w:after="90" w:line="264"/>
      </w:pPr>
      <w:r>
        <w:rPr>
          <w:rFonts w:ascii="Inter" w:cs="Inter" w:eastAsia="Inter" w:hAnsi="Inter"/>
          <w:b w:val="false"/>
          <w:bCs w:val="false"/>
          <w:i w:val="false"/>
          <w:iCs w:val="false"/>
          <w:caps w:val="false"/>
          <w:color w:val="05132A"/>
          <w:sz w:val="21"/>
          <w:szCs w:val="21"/>
        </w:rPr>
        <w:t xml:space="preserve">Record of Processing Activities (RoPA) under UK GDPR Article 30 — a later 0.7 artefact.</w:t>
      </w:r>
    </w:p>
    <w:p>
      <w:pPr>
        <w:pStyle w:val="ListParagraph"/>
        <w:numPr>
          <w:ilvl w:val="0"/>
          <w:numId w:val="2"/>
        </w:numPr>
        <w:spacing w:after="90" w:line="264"/>
      </w:pPr>
      <w:r>
        <w:rPr>
          <w:rFonts w:ascii="Inter" w:cs="Inter" w:eastAsia="Inter" w:hAnsi="Inter"/>
          <w:b w:val="false"/>
          <w:bCs w:val="false"/>
          <w:i w:val="false"/>
          <w:iCs w:val="false"/>
          <w:caps w:val="false"/>
          <w:color w:val="05132A"/>
          <w:sz w:val="21"/>
          <w:szCs w:val="21"/>
        </w:rPr>
        <w:t xml:space="preserve">The security and permissions matrix — produced as the Security Model (WBS 0.5).</w:t>
      </w:r>
    </w:p>
    <w:p>
      <w:pPr>
        <w:pStyle w:val="ListParagraph"/>
        <w:numPr>
          <w:ilvl w:val="0"/>
          <w:numId w:val="2"/>
        </w:numPr>
        <w:spacing w:after="90" w:line="264"/>
      </w:pPr>
      <w:r>
        <w:rPr>
          <w:rFonts w:ascii="Inter" w:cs="Inter" w:eastAsia="Inter" w:hAnsi="Inter"/>
          <w:b w:val="false"/>
          <w:bCs w:val="false"/>
          <w:i w:val="false"/>
          <w:iCs w:val="false"/>
          <w:caps w:val="false"/>
          <w:color w:val="05132A"/>
          <w:sz w:val="21"/>
          <w:szCs w:val="21"/>
        </w:rPr>
        <w:t xml:space="preserve">Step-by-step deployment and operations procedures — the ALM Runbook (WBS 0.6) and Governance Runbook (WBS 0.8).</w:t>
      </w:r>
    </w:p>
    <w:p>
      <w:pPr>
        <w:pStyle w:val="Heading1"/>
        <w:pBdr>
          <w:bottom w:val="single" w:color="C99A52" w:sz="12" w:space="6"/>
        </w:pBdr>
        <w:spacing w:after="160" w:before="360"/>
      </w:pPr>
      <w:r>
        <w:rPr>
          <w:rFonts w:ascii="Montserrat" w:cs="Montserrat" w:eastAsia="Montserrat" w:hAnsi="Montserrat"/>
          <w:b/>
          <w:bCs/>
          <w:i w:val="false"/>
          <w:iCs w:val="false"/>
          <w:caps w:val="false"/>
          <w:color w:val="05132A"/>
          <w:sz w:val="30"/>
          <w:szCs w:val="30"/>
        </w:rPr>
        <w:t xml:space="preserve">2. Roles and responsibilities</w:t>
      </w:r>
    </w:p>
    <w:p>
      <w:pPr>
        <w:spacing w:after="160" w:before="0" w:line="276"/>
        <w:jc w:val="left"/>
      </w:pPr>
      <w:r>
        <w:rPr>
          <w:rFonts w:ascii="Inter" w:cs="Inter" w:eastAsia="Inter" w:hAnsi="Inter"/>
          <w:b w:val="false"/>
          <w:bCs w:val="false"/>
          <w:i w:val="false"/>
          <w:iCs w:val="false"/>
          <w:caps w:val="false"/>
          <w:color w:val="05132A"/>
          <w:sz w:val="21"/>
          <w:szCs w:val="21"/>
        </w:rPr>
        <w:t xml:space="preserve">Governance only works when each responsibility has a name against it. The table separates the accountable owner from the people and accounts that carry out the work.</w:t>
      </w:r>
    </w:p>
    <w:tbl>
      <w:tblPr>
        <w:tblW w:type="dxa" w:w="9026"/>
        <w:tblBorders>
          <w:top w:val="single" w:color="D9DDE3" w:sz="4"/>
          <w:left w:val="single" w:color="D9DDE3" w:sz="4"/>
          <w:bottom w:val="single" w:color="D9DDE3" w:sz="4"/>
          <w:right w:val="single" w:color="D9DDE3" w:sz="4"/>
          <w:insideH w:val="single" w:color="D9DDE3" w:sz="4"/>
          <w:insideV w:val="single" w:color="D9DDE3" w:sz="4"/>
        </w:tblBorders>
      </w:tblPr>
      <w:tblGrid>
        <w:gridCol w:w="2400"/>
        <w:gridCol w:w="2400"/>
        <w:gridCol w:w="4226"/>
      </w:tblGrid>
      <w:tr>
        <w:trPr>
          <w:tblHeader/>
        </w:trPr>
        <w:tc>
          <w:tcPr>
            <w:tcW w:type="dxa" w:w="2400"/>
            <w:shd w:fill="05132A" w:color="auto" w:val="clear"/>
            <w:tcMar>
              <w:top w:type="dxa" w:w="80"/>
              <w:left w:type="dxa" w:w="110"/>
              <w:bottom w:type="dxa" w:w="80"/>
              <w:right w:type="dxa" w:w="110"/>
            </w:tcMar>
          </w:tcPr>
          <w:p>
            <w:pPr>
              <w:spacing w:after="0" w:line="252"/>
            </w:pPr>
            <w:r>
              <w:rPr>
                <w:rFonts w:ascii="Montserrat" w:cs="Montserrat" w:eastAsia="Montserrat" w:hAnsi="Montserrat"/>
                <w:b/>
                <w:bCs/>
                <w:i w:val="false"/>
                <w:iCs w:val="false"/>
                <w:caps w:val="false"/>
                <w:color w:val="FFFFFF"/>
                <w:sz w:val="19"/>
                <w:szCs w:val="19"/>
              </w:rPr>
              <w:t xml:space="preserve">Role</w:t>
            </w:r>
          </w:p>
        </w:tc>
        <w:tc>
          <w:tcPr>
            <w:tcW w:type="dxa" w:w="2400"/>
            <w:shd w:fill="05132A" w:color="auto" w:val="clear"/>
            <w:tcMar>
              <w:top w:type="dxa" w:w="80"/>
              <w:left w:type="dxa" w:w="110"/>
              <w:bottom w:type="dxa" w:w="80"/>
              <w:right w:type="dxa" w:w="110"/>
            </w:tcMar>
          </w:tcPr>
          <w:p>
            <w:pPr>
              <w:spacing w:after="0" w:line="252"/>
            </w:pPr>
            <w:r>
              <w:rPr>
                <w:rFonts w:ascii="Montserrat" w:cs="Montserrat" w:eastAsia="Montserrat" w:hAnsi="Montserrat"/>
                <w:b/>
                <w:bCs/>
                <w:i w:val="false"/>
                <w:iCs w:val="false"/>
                <w:caps w:val="false"/>
                <w:color w:val="FFFFFF"/>
                <w:sz w:val="19"/>
                <w:szCs w:val="19"/>
              </w:rPr>
              <w:t xml:space="preserve">Who</w:t>
            </w:r>
          </w:p>
        </w:tc>
        <w:tc>
          <w:tcPr>
            <w:tcW w:type="dxa" w:w="4226"/>
            <w:shd w:fill="05132A" w:color="auto" w:val="clear"/>
            <w:tcMar>
              <w:top w:type="dxa" w:w="80"/>
              <w:left w:type="dxa" w:w="110"/>
              <w:bottom w:type="dxa" w:w="80"/>
              <w:right w:type="dxa" w:w="110"/>
            </w:tcMar>
          </w:tcPr>
          <w:p>
            <w:pPr>
              <w:spacing w:after="0" w:line="252"/>
            </w:pPr>
            <w:r>
              <w:rPr>
                <w:rFonts w:ascii="Montserrat" w:cs="Montserrat" w:eastAsia="Montserrat" w:hAnsi="Montserrat"/>
                <w:b/>
                <w:bCs/>
                <w:i w:val="false"/>
                <w:iCs w:val="false"/>
                <w:caps w:val="false"/>
                <w:color w:val="FFFFFF"/>
                <w:sz w:val="19"/>
                <w:szCs w:val="19"/>
              </w:rPr>
              <w:t xml:space="preserve">Responsibility</w:t>
            </w:r>
          </w:p>
        </w:tc>
      </w:tr>
      <w:tr>
        <w:tc>
          <w:tcPr>
            <w:tcW w:type="dxa" w:w="2400"/>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Data controller</w:t>
            </w:r>
          </w:p>
        </w:tc>
        <w:tc>
          <w:tcPr>
            <w:tcW w:type="dxa" w:w="2400"/>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Revitalise</w:t>
            </w:r>
          </w:p>
        </w:tc>
        <w:tc>
          <w:tcPr>
            <w:tcW w:type="dxa" w:w="4226"/>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Owns the lawful bases, retention periods, and the Privacy Notice. Approves this framework.</w:t>
            </w:r>
          </w:p>
        </w:tc>
      </w:tr>
      <w:tr>
        <w:tc>
          <w:tcPr>
            <w:tcW w:type="dxa" w:w="2400"/>
            <w:shd w:fill="F7F5F2" w:color="auto" w:val="clear"/>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Data Protection Officer</w:t>
            </w:r>
          </w:p>
        </w:tc>
        <w:tc>
          <w:tcPr>
            <w:tcW w:type="dxa" w:w="2400"/>
            <w:shd w:fill="F7F5F2" w:color="auto" w:val="clear"/>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Revitalise's DPO</w:t>
            </w:r>
          </w:p>
        </w:tc>
        <w:tc>
          <w:tcPr>
            <w:tcW w:type="dxa" w:w="4226"/>
            <w:shd w:fill="F7F5F2" w:color="auto" w:val="clear"/>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Signs off retention of special-category data, the field-level security approach, and the automated-decision position. Reviews the DPIA.</w:t>
            </w:r>
          </w:p>
        </w:tc>
      </w:tr>
      <w:tr>
        <w:tc>
          <w:tcPr>
            <w:tcW w:type="dxa" w:w="2400"/>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Process owner</w:t>
            </w:r>
          </w:p>
        </w:tc>
        <w:tc>
          <w:tcPr>
            <w:tcW w:type="dxa" w:w="2400"/>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Emily (Revitalise)</w:t>
            </w:r>
          </w:p>
        </w:tc>
        <w:tc>
          <w:tcPr>
            <w:tcW w:type="dxa" w:w="4226"/>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Day-to-day owner of the grant process. Sets the scoring threshold, reviews the borderline applications the scoring flow flags, reviews flagged anonymisation, handles erasure requests.</w:t>
            </w:r>
          </w:p>
        </w:tc>
      </w:tr>
      <w:tr>
        <w:tc>
          <w:tcPr>
            <w:tcW w:type="dxa" w:w="2400"/>
            <w:shd w:fill="F7F5F2" w:color="auto" w:val="clear"/>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Solution builder / processor</w:t>
            </w:r>
          </w:p>
        </w:tc>
        <w:tc>
          <w:tcPr>
            <w:tcW w:type="dxa" w:w="2400"/>
            <w:shd w:fill="F7F5F2" w:color="auto" w:val="clear"/>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Xander Lykopoulos — Argelis</w:t>
            </w:r>
          </w:p>
        </w:tc>
        <w:tc>
          <w:tcPr>
            <w:tcW w:type="dxa" w:w="4226"/>
            <w:shd w:fill="F7F5F2" w:color="auto" w:val="clear"/>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Configures retention, backup, and DLP to match Revitalise's policy. Documents the setup.</w:t>
            </w:r>
          </w:p>
        </w:tc>
      </w:tr>
      <w:tr>
        <w:tc>
          <w:tcPr>
            <w:tcW w:type="dxa" w:w="2400"/>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Service identity</w:t>
            </w:r>
          </w:p>
        </w:tc>
        <w:tc>
          <w:tcPr>
            <w:tcW w:type="dxa" w:w="2400"/>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svc-grantautomation</w:t>
            </w:r>
          </w:p>
        </w:tc>
        <w:tc>
          <w:tcPr>
            <w:tcW w:type="dxa" w:w="4226"/>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The account that runs the flows and owns the connections. Not a personal login.</w:t>
            </w:r>
          </w:p>
        </w:tc>
      </w:tr>
    </w:tbl>
    <w:p>
      <w:pPr>
        <w:spacing w:after="160" w:before="0" w:line="276"/>
        <w:jc w:val="left"/>
      </w:pPr>
      <w:r>
        <w:rPr>
          <w:rFonts w:ascii="Inter" w:cs="Inter" w:eastAsia="Inter" w:hAnsi="Inter"/>
          <w:b w:val="false"/>
          <w:bCs w:val="false"/>
          <w:i w:val="false"/>
          <w:iCs w:val="false"/>
          <w:caps w:val="false"/>
          <w:color w:val="05132A"/>
          <w:sz w:val="21"/>
          <w:szCs w:val="21"/>
        </w:rPr>
        <w:t xml:space="preserve">Revitalise should confirm before sign-off that the DPO named above is current and that Emily is the accepted process owner. A second processor (Jan) is under consideration and is not yet assigned.</w:t>
      </w:r>
    </w:p>
    <w:p>
      <w:pPr>
        <w:pStyle w:val="Heading1"/>
        <w:pBdr>
          <w:bottom w:val="single" w:color="C99A52" w:sz="12" w:space="6"/>
        </w:pBdr>
        <w:spacing w:after="160" w:before="360"/>
      </w:pPr>
      <w:r>
        <w:rPr>
          <w:rFonts w:ascii="Montserrat" w:cs="Montserrat" w:eastAsia="Montserrat" w:hAnsi="Montserrat"/>
          <w:b/>
          <w:bCs/>
          <w:i w:val="false"/>
          <w:iCs w:val="false"/>
          <w:caps w:val="false"/>
          <w:color w:val="05132A"/>
          <w:sz w:val="30"/>
          <w:szCs w:val="30"/>
        </w:rPr>
        <w:t xml:space="preserve">3. Data inventory and classification</w:t>
      </w:r>
    </w:p>
    <w:p>
      <w:pPr>
        <w:spacing w:after="160" w:before="0" w:line="276"/>
        <w:jc w:val="left"/>
      </w:pPr>
      <w:r>
        <w:rPr>
          <w:rFonts w:ascii="Inter" w:cs="Inter" w:eastAsia="Inter" w:hAnsi="Inter"/>
          <w:b w:val="false"/>
          <w:bCs w:val="false"/>
          <w:i w:val="false"/>
          <w:iCs w:val="false"/>
          <w:caps w:val="false"/>
          <w:color w:val="05132A"/>
          <w:sz w:val="21"/>
          <w:szCs w:val="21"/>
        </w:rPr>
        <w:t xml:space="preserve">The solution holds four tiers of data. The tier drives how tightly each field is controlled and how long it is kept.</w:t>
      </w:r>
    </w:p>
    <w:tbl>
      <w:tblPr>
        <w:tblW w:type="dxa" w:w="9026"/>
        <w:tblBorders>
          <w:top w:val="single" w:color="D9DDE3" w:sz="4"/>
          <w:left w:val="single" w:color="D9DDE3" w:sz="4"/>
          <w:bottom w:val="single" w:color="D9DDE3" w:sz="4"/>
          <w:right w:val="single" w:color="D9DDE3" w:sz="4"/>
          <w:insideH w:val="single" w:color="D9DDE3" w:sz="4"/>
          <w:insideV w:val="single" w:color="D9DDE3" w:sz="4"/>
        </w:tblBorders>
      </w:tblPr>
      <w:tblGrid>
        <w:gridCol w:w="2400"/>
        <w:gridCol w:w="3200"/>
        <w:gridCol w:w="3426"/>
      </w:tblGrid>
      <w:tr>
        <w:trPr>
          <w:tblHeader/>
        </w:trPr>
        <w:tc>
          <w:tcPr>
            <w:tcW w:type="dxa" w:w="2400"/>
            <w:shd w:fill="05132A" w:color="auto" w:val="clear"/>
            <w:tcMar>
              <w:top w:type="dxa" w:w="80"/>
              <w:left w:type="dxa" w:w="110"/>
              <w:bottom w:type="dxa" w:w="80"/>
              <w:right w:type="dxa" w:w="110"/>
            </w:tcMar>
          </w:tcPr>
          <w:p>
            <w:pPr>
              <w:spacing w:after="0" w:line="252"/>
            </w:pPr>
            <w:r>
              <w:rPr>
                <w:rFonts w:ascii="Montserrat" w:cs="Montserrat" w:eastAsia="Montserrat" w:hAnsi="Montserrat"/>
                <w:b/>
                <w:bCs/>
                <w:i w:val="false"/>
                <w:iCs w:val="false"/>
                <w:caps w:val="false"/>
                <w:color w:val="FFFFFF"/>
                <w:sz w:val="19"/>
                <w:szCs w:val="19"/>
              </w:rPr>
              <w:t xml:space="preserve">Classification</w:t>
            </w:r>
          </w:p>
        </w:tc>
        <w:tc>
          <w:tcPr>
            <w:tcW w:type="dxa" w:w="3200"/>
            <w:shd w:fill="05132A" w:color="auto" w:val="clear"/>
            <w:tcMar>
              <w:top w:type="dxa" w:w="80"/>
              <w:left w:type="dxa" w:w="110"/>
              <w:bottom w:type="dxa" w:w="80"/>
              <w:right w:type="dxa" w:w="110"/>
            </w:tcMar>
          </w:tcPr>
          <w:p>
            <w:pPr>
              <w:spacing w:after="0" w:line="252"/>
            </w:pPr>
            <w:r>
              <w:rPr>
                <w:rFonts w:ascii="Montserrat" w:cs="Montserrat" w:eastAsia="Montserrat" w:hAnsi="Montserrat"/>
                <w:b/>
                <w:bCs/>
                <w:i w:val="false"/>
                <w:iCs w:val="false"/>
                <w:caps w:val="false"/>
                <w:color w:val="FFFFFF"/>
                <w:sz w:val="19"/>
                <w:szCs w:val="19"/>
              </w:rPr>
              <w:t xml:space="preserve">Examples in this solution</w:t>
            </w:r>
          </w:p>
        </w:tc>
        <w:tc>
          <w:tcPr>
            <w:tcW w:type="dxa" w:w="3426"/>
            <w:shd w:fill="05132A" w:color="auto" w:val="clear"/>
            <w:tcMar>
              <w:top w:type="dxa" w:w="80"/>
              <w:left w:type="dxa" w:w="110"/>
              <w:bottom w:type="dxa" w:w="80"/>
              <w:right w:type="dxa" w:w="110"/>
            </w:tcMar>
          </w:tcPr>
          <w:p>
            <w:pPr>
              <w:spacing w:after="0" w:line="252"/>
            </w:pPr>
            <w:r>
              <w:rPr>
                <w:rFonts w:ascii="Montserrat" w:cs="Montserrat" w:eastAsia="Montserrat" w:hAnsi="Montserrat"/>
                <w:b/>
                <w:bCs/>
                <w:i w:val="false"/>
                <w:iCs w:val="false"/>
                <w:caps w:val="false"/>
                <w:color w:val="FFFFFF"/>
                <w:sz w:val="19"/>
                <w:szCs w:val="19"/>
              </w:rPr>
              <w:t xml:space="preserve">Handling</w:t>
            </w:r>
          </w:p>
        </w:tc>
      </w:tr>
      <w:tr>
        <w:tc>
          <w:tcPr>
            <w:tcW w:type="dxa" w:w="2400"/>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Special-category (UK GDPR Article 9)</w:t>
            </w:r>
          </w:p>
        </w:tc>
        <w:tc>
          <w:tcPr>
            <w:tcW w:type="dxa" w:w="3200"/>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Health and disability free-text in the application narrative; benefit statement; “other condition” notes</w:t>
            </w:r>
          </w:p>
        </w:tc>
        <w:tc>
          <w:tcPr>
            <w:tcW w:type="dxa" w:w="3426"/>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Highest restriction. Readable only by the admin and finance roles. Never shown to trustees. Free-text is AI-redacted before trustee review.</w:t>
            </w:r>
          </w:p>
        </w:tc>
      </w:tr>
      <w:tr>
        <w:tc>
          <w:tcPr>
            <w:tcW w:type="dxa" w:w="2400"/>
            <w:shd w:fill="F7F5F2" w:color="auto" w:val="clear"/>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Personal data (Article 6)</w:t>
            </w:r>
          </w:p>
        </w:tc>
        <w:tc>
          <w:tcPr>
            <w:tcW w:type="dxa" w:w="3200"/>
            <w:shd w:fill="F7F5F2" w:color="auto" w:val="clear"/>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Applicant name, email, phone, address, date of birth; referees, helpers, group members, emergency contacts</w:t>
            </w:r>
          </w:p>
        </w:tc>
        <w:tc>
          <w:tcPr>
            <w:tcW w:type="dxa" w:w="3426"/>
            <w:shd w:fill="F7F5F2" w:color="auto" w:val="clear"/>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Restricted. Held in the Dataverse tables; identity columns hidden from trustees by field-level security.</w:t>
            </w:r>
          </w:p>
        </w:tc>
      </w:tr>
      <w:tr>
        <w:tc>
          <w:tcPr>
            <w:tcW w:type="dxa" w:w="2400"/>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Pseudonymised</w:t>
            </w:r>
          </w:p>
        </w:tc>
        <w:tc>
          <w:tcPr>
            <w:tcW w:type="dxa" w:w="3200"/>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Monitoring and evaluation data linked to an applicant only by reference number</w:t>
            </w:r>
          </w:p>
        </w:tc>
        <w:tc>
          <w:tcPr>
            <w:tcW w:type="dxa" w:w="3426"/>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Still personal data. Follows the same retention clock as its parent grant record.</w:t>
            </w:r>
          </w:p>
        </w:tc>
      </w:tr>
      <w:tr>
        <w:tc>
          <w:tcPr>
            <w:tcW w:type="dxa" w:w="2400"/>
            <w:shd w:fill="F7F5F2" w:color="auto" w:val="clear"/>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Anonymised</w:t>
            </w:r>
          </w:p>
        </w:tc>
        <w:tc>
          <w:tcPr>
            <w:tcW w:type="dxa" w:w="3200"/>
            <w:shd w:fill="F7F5F2" w:color="auto" w:val="clear"/>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Aggregated statistics in the snapshot table, with no identifiers and no link back to a person</w:t>
            </w:r>
          </w:p>
        </w:tc>
        <w:tc>
          <w:tcPr>
            <w:tcW w:type="dxa" w:w="3426"/>
            <w:shd w:fill="F7F5F2" w:color="auto" w:val="clear"/>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Not personal data. May be kept indefinitely for reporting.</w:t>
            </w:r>
          </w:p>
        </w:tc>
      </w:tr>
      <w:tr>
        <w:tc>
          <w:tcPr>
            <w:tcW w:type="dxa" w:w="2400"/>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Operational (non-personal)</w:t>
            </w:r>
          </w:p>
        </w:tc>
        <w:tc>
          <w:tcPr>
            <w:tcW w:type="dxa" w:w="3200"/>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Flow error logs, run history — the Error Log table</w:t>
            </w:r>
          </w:p>
        </w:tc>
        <w:tc>
          <w:tcPr>
            <w:tcW w:type="dxa" w:w="3426"/>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No personal data. Run status, error messages and record references only. Kept on a short operational retention, separate from the personal-data schedule.</w:t>
            </w:r>
          </w:p>
        </w:tc>
      </w:tr>
    </w:tbl>
    <w:p>
      <w:pPr>
        <w:spacing w:after="160" w:before="0" w:line="276"/>
        <w:jc w:val="left"/>
      </w:pPr>
      <w:r>
        <w:rPr>
          <w:rFonts w:ascii="Inter" w:cs="Inter" w:eastAsia="Inter" w:hAnsi="Inter"/>
          <w:b/>
          <w:bCs/>
          <w:i w:val="false"/>
          <w:iCs w:val="false"/>
          <w:caps w:val="false"/>
          <w:color w:val="05132A"/>
          <w:sz w:val="21"/>
          <w:szCs w:val="21"/>
        </w:rPr>
        <w:t xml:space="preserve">The system of record is the Dataverse tables. </w:t>
      </w:r>
      <w:r>
        <w:rPr>
          <w:rFonts w:ascii="Inter" w:cs="Inter" w:eastAsia="Inter" w:hAnsi="Inter"/>
          <w:b w:val="false"/>
          <w:bCs w:val="false"/>
          <w:i w:val="false"/>
          <w:iCs w:val="false"/>
          <w:caps w:val="false"/>
          <w:color w:val="05132A"/>
          <w:sz w:val="21"/>
          <w:szCs w:val="21"/>
        </w:rPr>
        <w:t xml:space="preserve">Copies of specific data exist in three other places: the signed acceptance PDFs in the SharePoint document library (linked by URL from the Grant record), the signed envelopes in DocuSign, and the financial record (name, amount, date) in QuickBooks Online. Section 4 accounts for all of them.</w:t>
      </w:r>
    </w:p>
    <w:p>
      <w:pPr>
        <w:pStyle w:val="Heading1"/>
        <w:pBdr>
          <w:bottom w:val="single" w:color="C99A52" w:sz="12" w:space="6"/>
        </w:pBdr>
        <w:spacing w:after="160" w:before="360"/>
      </w:pPr>
      <w:r>
        <w:rPr>
          <w:rFonts w:ascii="Montserrat" w:cs="Montserrat" w:eastAsia="Montserrat" w:hAnsi="Montserrat"/>
          <w:b/>
          <w:bCs/>
          <w:i w:val="false"/>
          <w:iCs w:val="false"/>
          <w:caps w:val="false"/>
          <w:color w:val="05132A"/>
          <w:sz w:val="30"/>
          <w:szCs w:val="30"/>
        </w:rPr>
        <w:t xml:space="preserve">4. Retention and deletion policy</w:t>
      </w:r>
    </w:p>
    <w:p>
      <w:pPr>
        <w:spacing w:after="160" w:before="0" w:line="276"/>
        <w:jc w:val="left"/>
      </w:pPr>
      <w:r>
        <w:rPr>
          <w:rFonts w:ascii="Inter" w:cs="Inter" w:eastAsia="Inter" w:hAnsi="Inter"/>
          <w:b w:val="false"/>
          <w:bCs w:val="false"/>
          <w:i w:val="false"/>
          <w:iCs w:val="false"/>
          <w:caps w:val="false"/>
          <w:color w:val="05132A"/>
          <w:sz w:val="21"/>
          <w:szCs w:val="21"/>
        </w:rPr>
        <w:t xml:space="preserve">Personal data is kept only as long as Revitalise's published schedule allows, then deleted or irreversibly anonymised. The retention clock is driven by an application's status plus a trigger date, and it runs automatically — no record depends on someone remembering to delete it.</w:t>
      </w:r>
    </w:p>
    <w:p>
      <w:pPr>
        <w:pStyle w:val="Heading3"/>
        <w:spacing w:after="100" w:before="200"/>
      </w:pPr>
      <w:r>
        <w:rPr>
          <w:rFonts w:ascii="Montserrat" w:cs="Montserrat" w:eastAsia="Montserrat" w:hAnsi="Montserrat"/>
          <w:b/>
          <w:bCs/>
          <w:i w:val="false"/>
          <w:iCs w:val="false"/>
          <w:caps w:val="false"/>
          <w:color w:val="C99A52"/>
          <w:sz w:val="21"/>
          <w:szCs w:val="21"/>
        </w:rPr>
        <w:t xml:space="preserve">Retention schedule (as implemented)</w:t>
      </w:r>
    </w:p>
    <w:tbl>
      <w:tblPr>
        <w:tblW w:type="dxa" w:w="9026"/>
        <w:tblBorders>
          <w:top w:val="single" w:color="D9DDE3" w:sz="4"/>
          <w:left w:val="single" w:color="D9DDE3" w:sz="4"/>
          <w:bottom w:val="single" w:color="D9DDE3" w:sz="4"/>
          <w:right w:val="single" w:color="D9DDE3" w:sz="4"/>
          <w:insideH w:val="single" w:color="D9DDE3" w:sz="4"/>
          <w:insideV w:val="single" w:color="D9DDE3" w:sz="4"/>
        </w:tblBorders>
      </w:tblPr>
      <w:tblGrid>
        <w:gridCol w:w="3000"/>
        <w:gridCol w:w="3026"/>
        <w:gridCol w:w="1300"/>
        <w:gridCol w:w="1700"/>
      </w:tblGrid>
      <w:tr>
        <w:trPr>
          <w:tblHeader/>
        </w:trPr>
        <w:tc>
          <w:tcPr>
            <w:tcW w:type="dxa" w:w="3000"/>
            <w:shd w:fill="05132A" w:color="auto" w:val="clear"/>
            <w:tcMar>
              <w:top w:type="dxa" w:w="80"/>
              <w:left w:type="dxa" w:w="110"/>
              <w:bottom w:type="dxa" w:w="80"/>
              <w:right w:type="dxa" w:w="110"/>
            </w:tcMar>
          </w:tcPr>
          <w:p>
            <w:pPr>
              <w:spacing w:after="0" w:line="252"/>
            </w:pPr>
            <w:r>
              <w:rPr>
                <w:rFonts w:ascii="Montserrat" w:cs="Montserrat" w:eastAsia="Montserrat" w:hAnsi="Montserrat"/>
                <w:b/>
                <w:bCs/>
                <w:i w:val="false"/>
                <w:iCs w:val="false"/>
                <w:caps w:val="false"/>
                <w:color w:val="FFFFFF"/>
                <w:sz w:val="19"/>
                <w:szCs w:val="19"/>
              </w:rPr>
              <w:t xml:space="preserve">Data / outcome</w:t>
            </w:r>
          </w:p>
        </w:tc>
        <w:tc>
          <w:tcPr>
            <w:tcW w:type="dxa" w:w="3026"/>
            <w:shd w:fill="05132A" w:color="auto" w:val="clear"/>
            <w:tcMar>
              <w:top w:type="dxa" w:w="80"/>
              <w:left w:type="dxa" w:w="110"/>
              <w:bottom w:type="dxa" w:w="80"/>
              <w:right w:type="dxa" w:w="110"/>
            </w:tcMar>
          </w:tcPr>
          <w:p>
            <w:pPr>
              <w:spacing w:after="0" w:line="252"/>
            </w:pPr>
            <w:r>
              <w:rPr>
                <w:rFonts w:ascii="Montserrat" w:cs="Montserrat" w:eastAsia="Montserrat" w:hAnsi="Montserrat"/>
                <w:b/>
                <w:bCs/>
                <w:i w:val="false"/>
                <w:iCs w:val="false"/>
                <w:caps w:val="false"/>
                <w:color w:val="FFFFFF"/>
                <w:sz w:val="19"/>
                <w:szCs w:val="19"/>
              </w:rPr>
              <w:t xml:space="preserve">Trigger (status + date)</w:t>
            </w:r>
          </w:p>
        </w:tc>
        <w:tc>
          <w:tcPr>
            <w:tcW w:type="dxa" w:w="1300"/>
            <w:shd w:fill="05132A" w:color="auto" w:val="clear"/>
            <w:tcMar>
              <w:top w:type="dxa" w:w="80"/>
              <w:left w:type="dxa" w:w="110"/>
              <w:bottom w:type="dxa" w:w="80"/>
              <w:right w:type="dxa" w:w="110"/>
            </w:tcMar>
          </w:tcPr>
          <w:p>
            <w:pPr>
              <w:spacing w:after="0" w:line="252"/>
            </w:pPr>
            <w:r>
              <w:rPr>
                <w:rFonts w:ascii="Montserrat" w:cs="Montserrat" w:eastAsia="Montserrat" w:hAnsi="Montserrat"/>
                <w:b/>
                <w:bCs/>
                <w:i w:val="false"/>
                <w:iCs w:val="false"/>
                <w:caps w:val="false"/>
                <w:color w:val="FFFFFF"/>
                <w:sz w:val="19"/>
                <w:szCs w:val="19"/>
              </w:rPr>
              <w:t xml:space="preserve">Retention</w:t>
            </w:r>
          </w:p>
        </w:tc>
        <w:tc>
          <w:tcPr>
            <w:tcW w:type="dxa" w:w="1700"/>
            <w:shd w:fill="05132A" w:color="auto" w:val="clear"/>
            <w:tcMar>
              <w:top w:type="dxa" w:w="80"/>
              <w:left w:type="dxa" w:w="110"/>
              <w:bottom w:type="dxa" w:w="80"/>
              <w:right w:type="dxa" w:w="110"/>
            </w:tcMar>
          </w:tcPr>
          <w:p>
            <w:pPr>
              <w:spacing w:after="0" w:line="252"/>
            </w:pPr>
            <w:r>
              <w:rPr>
                <w:rFonts w:ascii="Montserrat" w:cs="Montserrat" w:eastAsia="Montserrat" w:hAnsi="Montserrat"/>
                <w:b/>
                <w:bCs/>
                <w:i w:val="false"/>
                <w:iCs w:val="false"/>
                <w:caps w:val="false"/>
                <w:color w:val="FFFFFF"/>
                <w:sz w:val="19"/>
                <w:szCs w:val="19"/>
              </w:rPr>
              <w:t xml:space="preserve">Then</w:t>
            </w:r>
          </w:p>
        </w:tc>
      </w:tr>
      <w:tr>
        <w:tc>
          <w:tcPr>
            <w:tcW w:type="dxa" w:w="3000"/>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Successful grant — full record incl. health free-text</w:t>
            </w:r>
          </w:p>
        </w:tc>
        <w:tc>
          <w:tcPr>
            <w:tcW w:type="dxa" w:w="3026"/>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Status = Grant Paid; from final payment date</w:t>
            </w:r>
          </w:p>
        </w:tc>
        <w:tc>
          <w:tcPr>
            <w:tcW w:type="dxa" w:w="1300"/>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6 years</w:t>
            </w:r>
          </w:p>
        </w:tc>
        <w:tc>
          <w:tcPr>
            <w:tcW w:type="dxa" w:w="1700"/>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Delete full record</w:t>
            </w:r>
          </w:p>
        </w:tc>
      </w:tr>
      <w:tr>
        <w:tc>
          <w:tcPr>
            <w:tcW w:type="dxa" w:w="3000"/>
            <w:shd w:fill="F7F5F2" w:color="auto" w:val="clear"/>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Unsuccessful application</w:t>
            </w:r>
          </w:p>
        </w:tc>
        <w:tc>
          <w:tcPr>
            <w:tcW w:type="dxa" w:w="3026"/>
            <w:shd w:fill="F7F5F2" w:color="auto" w:val="clear"/>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Status = Rejected; from decision date</w:t>
            </w:r>
          </w:p>
        </w:tc>
        <w:tc>
          <w:tcPr>
            <w:tcW w:type="dxa" w:w="1300"/>
            <w:shd w:fill="F7F5F2" w:color="auto" w:val="clear"/>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12 months</w:t>
            </w:r>
          </w:p>
        </w:tc>
        <w:tc>
          <w:tcPr>
            <w:tcW w:type="dxa" w:w="1700"/>
            <w:shd w:fill="F7F5F2" w:color="auto" w:val="clear"/>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Delete full record</w:t>
            </w:r>
          </w:p>
        </w:tc>
      </w:tr>
      <w:tr>
        <w:tc>
          <w:tcPr>
            <w:tcW w:type="dxa" w:w="3000"/>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Withdrawn / incomplete</w:t>
            </w:r>
          </w:p>
        </w:tc>
        <w:tc>
          <w:tcPr>
            <w:tcW w:type="dxa" w:w="3026"/>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Status = Withdrawn / Incomplete; from last contact</w:t>
            </w:r>
          </w:p>
        </w:tc>
        <w:tc>
          <w:tcPr>
            <w:tcW w:type="dxa" w:w="1300"/>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6 months</w:t>
            </w:r>
          </w:p>
        </w:tc>
        <w:tc>
          <w:tcPr>
            <w:tcW w:type="dxa" w:w="1700"/>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Delete full record</w:t>
            </w:r>
          </w:p>
        </w:tc>
      </w:tr>
      <w:tr>
        <w:tc>
          <w:tcPr>
            <w:tcW w:type="dxa" w:w="3000"/>
            <w:shd w:fill="F7F5F2" w:color="auto" w:val="clear"/>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Monitoring &amp; evaluation (pseudonymised)</w:t>
            </w:r>
          </w:p>
        </w:tc>
        <w:tc>
          <w:tcPr>
            <w:tcW w:type="dxa" w:w="3026"/>
            <w:shd w:fill="F7F5F2" w:color="auto" w:val="clear"/>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Follows its parent grant record</w:t>
            </w:r>
          </w:p>
        </w:tc>
        <w:tc>
          <w:tcPr>
            <w:tcW w:type="dxa" w:w="1300"/>
            <w:shd w:fill="F7F5F2" w:color="auto" w:val="clear"/>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Same as record</w:t>
            </w:r>
          </w:p>
        </w:tc>
        <w:tc>
          <w:tcPr>
            <w:tcW w:type="dxa" w:w="1700"/>
            <w:shd w:fill="F7F5F2" w:color="auto" w:val="clear"/>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Delete with record</w:t>
            </w:r>
          </w:p>
        </w:tc>
      </w:tr>
      <w:tr>
        <w:tc>
          <w:tcPr>
            <w:tcW w:type="dxa" w:w="3000"/>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Signed acceptance PDF</w:t>
            </w:r>
          </w:p>
        </w:tc>
        <w:tc>
          <w:tcPr>
            <w:tcW w:type="dxa" w:w="3026"/>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Attached to the grant record</w:t>
            </w:r>
          </w:p>
        </w:tc>
        <w:tc>
          <w:tcPr>
            <w:tcW w:type="dxa" w:w="1300"/>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6 years (with record)</w:t>
            </w:r>
          </w:p>
        </w:tc>
        <w:tc>
          <w:tcPr>
            <w:tcW w:type="dxa" w:w="1700"/>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Delete with record</w:t>
            </w:r>
          </w:p>
        </w:tc>
      </w:tr>
      <w:tr>
        <w:tc>
          <w:tcPr>
            <w:tcW w:type="dxa" w:w="3000"/>
            <w:shd w:fill="F7F5F2" w:color="auto" w:val="clear"/>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Financial record (name, amount, date) — QuickBooks</w:t>
            </w:r>
          </w:p>
        </w:tc>
        <w:tc>
          <w:tcPr>
            <w:tcW w:type="dxa" w:w="3026"/>
            <w:shd w:fill="F7F5F2" w:color="auto" w:val="clear"/>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Status = Grant Paid</w:t>
            </w:r>
          </w:p>
        </w:tc>
        <w:tc>
          <w:tcPr>
            <w:tcW w:type="dxa" w:w="1300"/>
            <w:shd w:fill="F7F5F2" w:color="auto" w:val="clear"/>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6 years</w:t>
            </w:r>
          </w:p>
        </w:tc>
        <w:tc>
          <w:tcPr>
            <w:tcW w:type="dxa" w:w="1700"/>
            <w:shd w:fill="F7F5F2" w:color="auto" w:val="clear"/>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Per finance policy</w:t>
            </w:r>
          </w:p>
        </w:tc>
      </w:tr>
      <w:tr>
        <w:tc>
          <w:tcPr>
            <w:tcW w:type="dxa" w:w="3000"/>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Irreversibly anonymised statistics</w:t>
            </w:r>
          </w:p>
        </w:tc>
        <w:tc>
          <w:tcPr>
            <w:tcW w:type="dxa" w:w="3026"/>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No identifiers; not linkable</w:t>
            </w:r>
          </w:p>
        </w:tc>
        <w:tc>
          <w:tcPr>
            <w:tcW w:type="dxa" w:w="1300"/>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Indefinite</w:t>
            </w:r>
          </w:p>
        </w:tc>
        <w:tc>
          <w:tcPr>
            <w:tcW w:type="dxa" w:w="1700"/>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Retain</w:t>
            </w:r>
          </w:p>
        </w:tc>
      </w:tr>
    </w:tbl>
    <w:p>
      <w:pPr>
        <w:spacing w:after="160" w:before="0" w:line="276"/>
        <w:jc w:val="left"/>
      </w:pPr>
      <w:r>
        <w:rPr>
          <w:rFonts w:ascii="Inter" w:cs="Inter" w:eastAsia="Inter" w:hAnsi="Inter"/>
          <w:b w:val="false"/>
          <w:bCs w:val="false"/>
          <w:i w:val="false"/>
          <w:iCs w:val="false"/>
          <w:caps w:val="false"/>
          <w:color w:val="05132A"/>
          <w:sz w:val="21"/>
          <w:szCs w:val="21"/>
        </w:rPr>
        <w:t xml:space="preserve">The 6-year period on successful grants, including the health free-text, follows the Charities Act 2011 financial-record duty as stated in Revitalise's Privacy Notice. The design allows the special-category free-text to be redacted earlier if the DPO later chooses tighter minimisation; that is a configuration change, not a rebuild.</w:t>
      </w:r>
    </w:p>
    <w:p>
      <w:pPr>
        <w:pStyle w:val="Heading3"/>
        <w:spacing w:after="100" w:before="200"/>
      </w:pPr>
      <w:r>
        <w:rPr>
          <w:rFonts w:ascii="Montserrat" w:cs="Montserrat" w:eastAsia="Montserrat" w:hAnsi="Montserrat"/>
          <w:b/>
          <w:bCs/>
          <w:i w:val="false"/>
          <w:iCs w:val="false"/>
          <w:caps w:val="false"/>
          <w:color w:val="C99A52"/>
          <w:sz w:val="21"/>
          <w:szCs w:val="21"/>
        </w:rPr>
        <w:t xml:space="preserve">How deletion is enforced</w:t>
      </w:r>
    </w:p>
    <w:p>
      <w:pPr>
        <w:spacing w:after="160" w:before="0" w:line="276"/>
        <w:jc w:val="left"/>
      </w:pPr>
      <w:r>
        <w:rPr>
          <w:rFonts w:ascii="Inter" w:cs="Inter" w:eastAsia="Inter" w:hAnsi="Inter"/>
          <w:b/>
          <w:bCs/>
          <w:i w:val="false"/>
          <w:iCs w:val="false"/>
          <w:caps w:val="false"/>
          <w:color w:val="05132A"/>
          <w:sz w:val="21"/>
          <w:szCs w:val="21"/>
        </w:rPr>
        <w:t xml:space="preserve">Native Dataverse deletion is the primary control. </w:t>
      </w:r>
      <w:r>
        <w:rPr>
          <w:rFonts w:ascii="Inter" w:cs="Inter" w:eastAsia="Inter" w:hAnsi="Inter"/>
          <w:b w:val="false"/>
          <w:bCs w:val="false"/>
          <w:i w:val="false"/>
          <w:iCs w:val="false"/>
          <w:caps w:val="false"/>
          <w:color w:val="05132A"/>
          <w:sz w:val="21"/>
          <w:szCs w:val="21"/>
        </w:rPr>
        <w:t xml:space="preserve">A recurring Dataverse scheduled bulk-delete job runs monthly against a query — records whose status and date have passed their retention period — and deletes the matching rows. Because the Review, Grant and Payment rows hang off the Application through cascade-delete relationships, deleting the Application removes the whole case in one operation. This is a native capability, configured once by an admin and logged as a system job. It needs no custom sweep flow and no licence beyond the Dataverse entitlements already in place.</w:t>
      </w:r>
    </w:p>
    <w:p>
      <w:pPr>
        <w:spacing w:after="160" w:before="0" w:line="276"/>
        <w:jc w:val="left"/>
      </w:pPr>
      <w:r>
        <w:rPr>
          <w:rFonts w:ascii="Inter" w:cs="Inter" w:eastAsia="Inter" w:hAnsi="Inter"/>
          <w:b w:val="false"/>
          <w:bCs w:val="false"/>
          <w:i w:val="false"/>
          <w:iCs w:val="false"/>
          <w:caps w:val="false"/>
          <w:color w:val="05132A"/>
          <w:sz w:val="21"/>
          <w:szCs w:val="21"/>
        </w:rPr>
        <w:t xml:space="preserve">The rest of the controls sit around that native job:</w:t>
      </w:r>
    </w:p>
    <w:p>
      <w:pPr>
        <w:pStyle w:val="ListParagraph"/>
        <w:numPr>
          <w:ilvl w:val="0"/>
          <w:numId w:val="2"/>
        </w:numPr>
        <w:spacing w:after="90" w:line="264"/>
      </w:pPr>
      <w:r>
        <w:rPr>
          <w:rFonts w:ascii="Inter" w:cs="Inter" w:eastAsia="Inter" w:hAnsi="Inter"/>
          <w:b/>
          <w:bCs/>
          <w:i w:val="false"/>
          <w:iCs w:val="false"/>
          <w:caps w:val="false"/>
          <w:color w:val="05132A"/>
          <w:sz w:val="21"/>
          <w:szCs w:val="21"/>
        </w:rPr>
        <w:t xml:space="preserve">Retention &amp; Erasure helper flow (residual). </w:t>
      </w:r>
      <w:r>
        <w:rPr>
          <w:rFonts w:ascii="Inter" w:cs="Inter" w:eastAsia="Inter" w:hAnsi="Inter"/>
          <w:b w:val="false"/>
          <w:bCs w:val="false"/>
          <w:i w:val="false"/>
          <w:iCs w:val="false"/>
          <w:caps w:val="false"/>
          <w:color w:val="05132A"/>
          <w:sz w:val="21"/>
          <w:szCs w:val="21"/>
        </w:rPr>
        <w:t xml:space="preserve">A light Power Automate flow handles only what the native job cannot reach: purging the matching DocuSign envelope, honouring the QuickBooks finance-retention carve-out, and running on-demand erasure with the legal-hold carve-out applied. It reuses the service account's Power Automate Premium licence, so it adds no recurring cost. It is a cross-system helper, not the primary sweep.</w:t>
      </w:r>
    </w:p>
    <w:p>
      <w:pPr>
        <w:pStyle w:val="ListParagraph"/>
        <w:numPr>
          <w:ilvl w:val="0"/>
          <w:numId w:val="2"/>
        </w:numPr>
        <w:spacing w:after="90" w:line="264"/>
      </w:pPr>
      <w:r>
        <w:rPr>
          <w:rFonts w:ascii="Inter" w:cs="Inter" w:eastAsia="Inter" w:hAnsi="Inter"/>
          <w:b/>
          <w:bCs/>
          <w:i w:val="false"/>
          <w:iCs w:val="false"/>
          <w:caps w:val="false"/>
          <w:color w:val="05132A"/>
          <w:sz w:val="21"/>
          <w:szCs w:val="21"/>
        </w:rPr>
        <w:t xml:space="preserve">Purview retention labels (backstop). </w:t>
      </w:r>
      <w:r>
        <w:rPr>
          <w:rFonts w:ascii="Inter" w:cs="Inter" w:eastAsia="Inter" w:hAnsi="Inter"/>
          <w:b w:val="false"/>
          <w:bCs w:val="false"/>
          <w:i w:val="false"/>
          <w:iCs w:val="false"/>
          <w:caps w:val="false"/>
          <w:color w:val="05132A"/>
          <w:sz w:val="21"/>
          <w:szCs w:val="21"/>
        </w:rPr>
        <w:t xml:space="preserve">Basic time-based labels applied to the Application table and the signed-PDF library as a safety net, so nothing survives well past its period even if a job is paused. Business Premium supports basic labels only (verify); the status-aware enforcement is done by the native bulk-delete jobs, not Purview. Event-based and Purview Suite retention are not licensed and are avoided by design.</w:t>
      </w:r>
    </w:p>
    <w:p>
      <w:pPr>
        <w:pStyle w:val="ListParagraph"/>
        <w:numPr>
          <w:ilvl w:val="0"/>
          <w:numId w:val="2"/>
        </w:numPr>
        <w:spacing w:after="90" w:line="264"/>
      </w:pPr>
      <w:r>
        <w:rPr>
          <w:rFonts w:ascii="Inter" w:cs="Inter" w:eastAsia="Inter" w:hAnsi="Inter"/>
          <w:b/>
          <w:bCs/>
          <w:i w:val="false"/>
          <w:iCs w:val="false"/>
          <w:caps w:val="false"/>
          <w:color w:val="05132A"/>
          <w:sz w:val="21"/>
          <w:szCs w:val="21"/>
        </w:rPr>
        <w:t xml:space="preserve">Deletion logging. </w:t>
      </w:r>
      <w:r>
        <w:rPr>
          <w:rFonts w:ascii="Inter" w:cs="Inter" w:eastAsia="Inter" w:hAnsi="Inter"/>
          <w:b w:val="false"/>
          <w:bCs w:val="false"/>
          <w:i w:val="false"/>
          <w:iCs w:val="false"/>
          <w:caps w:val="false"/>
          <w:color w:val="05132A"/>
          <w:sz w:val="21"/>
          <w:szCs w:val="21"/>
        </w:rPr>
        <w:t xml:space="preserve">Each bulk-delete run is recorded as a Dataverse system job, and native field-change auditing logs every change to the tables, so the accountability trail required under UK GDPR Article 5(2) is largely native. A consolidated deletion log (record reference, data type, date, rule applied — holding no personal data) is kept if the DPO wants a single evidence record. Operational logs — the Error Log table and native run history — hold no personal data (run status, error messages and record references only) and are kept on a short operational retention, separate from the personal-data schedule.</w:t>
      </w:r>
    </w:p>
    <w:p>
      <w:pPr>
        <w:pStyle w:val="ListParagraph"/>
        <w:numPr>
          <w:ilvl w:val="0"/>
          <w:numId w:val="2"/>
        </w:numPr>
        <w:spacing w:after="90" w:line="264"/>
      </w:pPr>
      <w:r>
        <w:rPr>
          <w:rFonts w:ascii="Inter" w:cs="Inter" w:eastAsia="Inter" w:hAnsi="Inter"/>
          <w:b/>
          <w:bCs/>
          <w:i w:val="false"/>
          <w:iCs w:val="false"/>
          <w:caps w:val="false"/>
          <w:color w:val="05132A"/>
          <w:sz w:val="21"/>
          <w:szCs w:val="21"/>
        </w:rPr>
        <w:t xml:space="preserve">Reconciled copies. </w:t>
      </w:r>
      <w:r>
        <w:rPr>
          <w:rFonts w:ascii="Inter" w:cs="Inter" w:eastAsia="Inter" w:hAnsi="Inter"/>
          <w:b w:val="false"/>
          <w:bCs w:val="false"/>
          <w:i w:val="false"/>
          <w:iCs w:val="false"/>
          <w:caps w:val="false"/>
          <w:color w:val="05132A"/>
          <w:sz w:val="21"/>
          <w:szCs w:val="21"/>
        </w:rPr>
        <w:t xml:space="preserve">Deletion accounts for every system that holds a copy: the Dataverse tables themselves, the signed-PDF library, DocuSign (envelope purge set to match), and QuickBooks (retained under the finance policy).</w:t>
      </w:r>
    </w:p>
    <w:p>
      <w:pPr>
        <w:pStyle w:val="Heading3"/>
        <w:spacing w:after="100" w:before="200"/>
      </w:pPr>
      <w:r>
        <w:rPr>
          <w:rFonts w:ascii="Montserrat" w:cs="Montserrat" w:eastAsia="Montserrat" w:hAnsi="Montserrat"/>
          <w:b/>
          <w:bCs/>
          <w:i w:val="false"/>
          <w:iCs w:val="false"/>
          <w:caps w:val="false"/>
          <w:color w:val="C99A52"/>
          <w:sz w:val="21"/>
          <w:szCs w:val="21"/>
        </w:rPr>
        <w:t xml:space="preserve">Right to erasure</w:t>
      </w:r>
    </w:p>
    <w:p>
      <w:pPr>
        <w:spacing w:after="160" w:before="0" w:line="276"/>
        <w:jc w:val="left"/>
      </w:pPr>
      <w:r>
        <w:rPr>
          <w:rFonts w:ascii="Inter" w:cs="Inter" w:eastAsia="Inter" w:hAnsi="Inter"/>
          <w:b w:val="false"/>
          <w:bCs w:val="false"/>
          <w:i w:val="false"/>
          <w:iCs w:val="false"/>
          <w:caps w:val="false"/>
          <w:color w:val="05132A"/>
          <w:sz w:val="21"/>
          <w:szCs w:val="21"/>
        </w:rPr>
        <w:t xml:space="preserve">Erasure requests (UK GDPR Article 17) are handled by an on-demand bulk delete for a single applicant reference. The cascade removes the related Review, Grant and Payment rows, and the helper flow reaches the linked copies. It locates all of an individual's data across the Applicant, Application, Review, Grant and Payment tables, the signed-PDF library, DocuSign, and QuickBooks — including referees, helpers, group members, and emergency contacts captured with the application. It honours legal-hold carve-outs: data required for the 6-year Charities Act financial duty or for safeguarding is retained, and the requester is told which data cannot yet be deleted, matching the Privacy Notice. The request and the action taken are logged.</w:t>
      </w:r>
    </w:p>
    <w:p>
      <w:pPr>
        <w:pStyle w:val="Heading1"/>
        <w:pBdr>
          <w:bottom w:val="single" w:color="C99A52" w:sz="12" w:space="6"/>
        </w:pBdr>
        <w:spacing w:after="160" w:before="360"/>
      </w:pPr>
      <w:r>
        <w:rPr>
          <w:rFonts w:ascii="Montserrat" w:cs="Montserrat" w:eastAsia="Montserrat" w:hAnsi="Montserrat"/>
          <w:b/>
          <w:bCs/>
          <w:i w:val="false"/>
          <w:iCs w:val="false"/>
          <w:caps w:val="false"/>
          <w:color w:val="05132A"/>
          <w:sz w:val="30"/>
          <w:szCs w:val="30"/>
        </w:rPr>
        <w:t xml:space="preserve">5. Backup and recovery</w:t>
      </w:r>
    </w:p>
    <w:p>
      <w:pPr>
        <w:spacing w:after="160" w:before="0" w:line="276"/>
        <w:jc w:val="left"/>
      </w:pPr>
      <w:r>
        <w:rPr>
          <w:rFonts w:ascii="Inter" w:cs="Inter" w:eastAsia="Inter" w:hAnsi="Inter"/>
          <w:b w:val="false"/>
          <w:bCs w:val="false"/>
          <w:i w:val="false"/>
          <w:iCs w:val="false"/>
          <w:caps w:val="false"/>
          <w:color w:val="05132A"/>
          <w:sz w:val="21"/>
          <w:szCs w:val="21"/>
        </w:rPr>
        <w:t xml:space="preserve">Backup protects against accidental loss and gives a recovery point, without becoming a second, ungoverned copy of personal data that outlives its retention period. The three layers below are protected and recovered separately.</w:t>
      </w:r>
    </w:p>
    <w:tbl>
      <w:tblPr>
        <w:tblW w:type="dxa" w:w="9026"/>
        <w:tblBorders>
          <w:top w:val="single" w:color="D9DDE3" w:sz="4"/>
          <w:left w:val="single" w:color="D9DDE3" w:sz="4"/>
          <w:bottom w:val="single" w:color="D9DDE3" w:sz="4"/>
          <w:right w:val="single" w:color="D9DDE3" w:sz="4"/>
          <w:insideH w:val="single" w:color="D9DDE3" w:sz="4"/>
          <w:insideV w:val="single" w:color="D9DDE3" w:sz="4"/>
        </w:tblBorders>
      </w:tblPr>
      <w:tblGrid>
        <w:gridCol w:w="2500"/>
        <w:gridCol w:w="3300"/>
        <w:gridCol w:w="3226"/>
      </w:tblGrid>
      <w:tr>
        <w:trPr>
          <w:tblHeader/>
        </w:trPr>
        <w:tc>
          <w:tcPr>
            <w:tcW w:type="dxa" w:w="2500"/>
            <w:shd w:fill="05132A" w:color="auto" w:val="clear"/>
            <w:tcMar>
              <w:top w:type="dxa" w:w="80"/>
              <w:left w:type="dxa" w:w="110"/>
              <w:bottom w:type="dxa" w:w="80"/>
              <w:right w:type="dxa" w:w="110"/>
            </w:tcMar>
          </w:tcPr>
          <w:p>
            <w:pPr>
              <w:spacing w:after="0" w:line="252"/>
            </w:pPr>
            <w:r>
              <w:rPr>
                <w:rFonts w:ascii="Montserrat" w:cs="Montserrat" w:eastAsia="Montserrat" w:hAnsi="Montserrat"/>
                <w:b/>
                <w:bCs/>
                <w:i w:val="false"/>
                <w:iCs w:val="false"/>
                <w:caps w:val="false"/>
                <w:color w:val="FFFFFF"/>
                <w:sz w:val="19"/>
                <w:szCs w:val="19"/>
              </w:rPr>
              <w:t xml:space="preserve">Layer</w:t>
            </w:r>
          </w:p>
        </w:tc>
        <w:tc>
          <w:tcPr>
            <w:tcW w:type="dxa" w:w="3300"/>
            <w:shd w:fill="05132A" w:color="auto" w:val="clear"/>
            <w:tcMar>
              <w:top w:type="dxa" w:w="80"/>
              <w:left w:type="dxa" w:w="110"/>
              <w:bottom w:type="dxa" w:w="80"/>
              <w:right w:type="dxa" w:w="110"/>
            </w:tcMar>
          </w:tcPr>
          <w:p>
            <w:pPr>
              <w:spacing w:after="0" w:line="252"/>
            </w:pPr>
            <w:r>
              <w:rPr>
                <w:rFonts w:ascii="Montserrat" w:cs="Montserrat" w:eastAsia="Montserrat" w:hAnsi="Montserrat"/>
                <w:b/>
                <w:bCs/>
                <w:i w:val="false"/>
                <w:iCs w:val="false"/>
                <w:caps w:val="false"/>
                <w:color w:val="FFFFFF"/>
                <w:sz w:val="19"/>
                <w:szCs w:val="19"/>
              </w:rPr>
              <w:t xml:space="preserve">What protects it</w:t>
            </w:r>
          </w:p>
        </w:tc>
        <w:tc>
          <w:tcPr>
            <w:tcW w:type="dxa" w:w="3226"/>
            <w:shd w:fill="05132A" w:color="auto" w:val="clear"/>
            <w:tcMar>
              <w:top w:type="dxa" w:w="80"/>
              <w:left w:type="dxa" w:w="110"/>
              <w:bottom w:type="dxa" w:w="80"/>
              <w:right w:type="dxa" w:w="110"/>
            </w:tcMar>
          </w:tcPr>
          <w:p>
            <w:pPr>
              <w:spacing w:after="0" w:line="252"/>
            </w:pPr>
            <w:r>
              <w:rPr>
                <w:rFonts w:ascii="Montserrat" w:cs="Montserrat" w:eastAsia="Montserrat" w:hAnsi="Montserrat"/>
                <w:b/>
                <w:bCs/>
                <w:i w:val="false"/>
                <w:iCs w:val="false"/>
                <w:caps w:val="false"/>
                <w:color w:val="FFFFFF"/>
                <w:sz w:val="19"/>
                <w:szCs w:val="19"/>
              </w:rPr>
              <w:t xml:space="preserve">Recovery position</w:t>
            </w:r>
          </w:p>
        </w:tc>
      </w:tr>
      <w:tr>
        <w:tc>
          <w:tcPr>
            <w:tcW w:type="dxa" w:w="2500"/>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Data (Dataverse tables)</w:t>
            </w:r>
          </w:p>
        </w:tc>
        <w:tc>
          <w:tcPr>
            <w:tcW w:type="dxa" w:w="3300"/>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Dataverse point-in-time restore plus Microsoft's platform backup, in the UK region</w:t>
            </w:r>
          </w:p>
        </w:tc>
        <w:tc>
          <w:tcPr>
            <w:tcW w:type="dxa" w:w="3226"/>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Restore the environment to a point in time for larger loss; individual rows recovered from the audit trail where feasible</w:t>
            </w:r>
          </w:p>
        </w:tc>
      </w:tr>
      <w:tr>
        <w:tc>
          <w:tcPr>
            <w:tcW w:type="dxa" w:w="2500"/>
            <w:shd w:fill="F7F5F2" w:color="auto" w:val="clear"/>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Logic (flows, apps, templates)</w:t>
            </w:r>
          </w:p>
        </w:tc>
        <w:tc>
          <w:tcPr>
            <w:tcW w:type="dxa" w:w="3300"/>
            <w:shd w:fill="F7F5F2" w:color="auto" w:val="clear"/>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Managed solution packages (.zip) retained per released version; unpacked source in Azure DevOps Git</w:t>
            </w:r>
          </w:p>
        </w:tc>
        <w:tc>
          <w:tcPr>
            <w:tcW w:type="dxa" w:w="3226"/>
            <w:shd w:fill="F7F5F2" w:color="auto" w:val="clear"/>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Re-import the previous managed package; roll logic back without touching data</w:t>
            </w:r>
          </w:p>
        </w:tc>
      </w:tr>
      <w:tr>
        <w:tc>
          <w:tcPr>
            <w:tcW w:type="dxa" w:w="2500"/>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Configuration (thresholds, mailbox, library)</w:t>
            </w:r>
          </w:p>
        </w:tc>
        <w:tc>
          <w:tcPr>
            <w:tcW w:type="dxa" w:w="3300"/>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Environment variables and Settings, versioned with the solution</w:t>
            </w:r>
          </w:p>
        </w:tc>
        <w:tc>
          <w:tcPr>
            <w:tcW w:type="dxa" w:w="3226"/>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Restored with the solution package; PROD values re-applied from the environment variables</w:t>
            </w:r>
          </w:p>
        </w:tc>
      </w:tr>
    </w:tbl>
    <w:p>
      <w:pPr>
        <w:spacing w:after="160" w:before="0" w:line="276"/>
        <w:jc w:val="left"/>
      </w:pPr>
      <w:r>
        <w:rPr>
          <w:rFonts w:ascii="Inter" w:cs="Inter" w:eastAsia="Inter" w:hAnsi="Inter"/>
          <w:b w:val="false"/>
          <w:bCs w:val="false"/>
          <w:i w:val="false"/>
          <w:iCs w:val="false"/>
          <w:caps w:val="false"/>
          <w:color w:val="05132A"/>
          <w:sz w:val="21"/>
          <w:szCs w:val="21"/>
        </w:rPr>
        <w:t xml:space="preserve">Two governance points apply. First, backups are subject to the same retention policy as live data: a deleted record must not survive indefinitely inside a backup, so the point-in-time restore window sits within the record's retention period. Second, backups stay in the UK region to hold the data-residency commitment. The only SharePoint element left in the design is the signed-PDF document library; its recycle bin gives a short recovery window for those PDFs, but it is not the recovery story for the data, which lives in Dataverse.</w:t>
      </w:r>
    </w:p>
    <w:p>
      <w:pPr>
        <w:spacing w:after="160" w:before="0" w:line="276"/>
        <w:jc w:val="left"/>
      </w:pPr>
      <w:r>
        <w:rPr>
          <w:rFonts w:ascii="Inter" w:cs="Inter" w:eastAsia="Inter" w:hAnsi="Inter"/>
          <w:b w:val="false"/>
          <w:bCs w:val="false"/>
          <w:i w:val="false"/>
          <w:iCs w:val="false"/>
          <w:caps w:val="false"/>
          <w:color w:val="05132A"/>
          <w:sz w:val="21"/>
          <w:szCs w:val="21"/>
        </w:rPr>
        <w:t xml:space="preserve">I have not confirmed whether Revitalise runs a third-party Microsoft 365 backup tool or relies on the native platform capability alone. This should be checked during environment setup (WBS 0.2); the recovery positions above assume native platform backup and point-in-time restore as the baseline.</w:t>
      </w:r>
    </w:p>
    <w:p>
      <w:pPr>
        <w:pStyle w:val="Heading1"/>
        <w:pBdr>
          <w:bottom w:val="single" w:color="C99A52" w:sz="12" w:space="6"/>
        </w:pBdr>
        <w:spacing w:after="160" w:before="360"/>
      </w:pPr>
      <w:r>
        <w:rPr>
          <w:rFonts w:ascii="Montserrat" w:cs="Montserrat" w:eastAsia="Montserrat" w:hAnsi="Montserrat"/>
          <w:b/>
          <w:bCs/>
          <w:i w:val="false"/>
          <w:iCs w:val="false"/>
          <w:caps w:val="false"/>
          <w:color w:val="05132A"/>
          <w:sz w:val="30"/>
          <w:szCs w:val="30"/>
        </w:rPr>
        <w:t xml:space="preserve">6. Data loss prevention</w:t>
      </w:r>
    </w:p>
    <w:p>
      <w:pPr>
        <w:spacing w:after="160" w:before="0" w:line="276"/>
        <w:jc w:val="left"/>
      </w:pPr>
      <w:r>
        <w:rPr>
          <w:rFonts w:ascii="Inter" w:cs="Inter" w:eastAsia="Inter" w:hAnsi="Inter"/>
          <w:b w:val="false"/>
          <w:bCs w:val="false"/>
          <w:i w:val="false"/>
          <w:iCs w:val="false"/>
          <w:caps w:val="false"/>
          <w:color w:val="05132A"/>
          <w:sz w:val="21"/>
          <w:szCs w:val="21"/>
        </w:rPr>
        <w:t xml:space="preserve">A Data Loss Prevention (DLP) policy controls which connectors the solution may use and stops data moving between trusted and untrusted services. It is applied at the environment level to both the Development (DEV) and Production (PROD) environments.</w:t>
      </w:r>
    </w:p>
    <w:tbl>
      <w:tblPr>
        <w:tblW w:type="dxa" w:w="9026"/>
        <w:tblBorders>
          <w:top w:val="single" w:color="D9DDE3" w:sz="4"/>
          <w:left w:val="single" w:color="D9DDE3" w:sz="4"/>
          <w:bottom w:val="single" w:color="D9DDE3" w:sz="4"/>
          <w:right w:val="single" w:color="D9DDE3" w:sz="4"/>
          <w:insideH w:val="single" w:color="D9DDE3" w:sz="4"/>
          <w:insideV w:val="single" w:color="D9DDE3" w:sz="4"/>
        </w:tblBorders>
      </w:tblPr>
      <w:tblGrid>
        <w:gridCol w:w="1700"/>
        <w:gridCol w:w="5326"/>
        <w:gridCol w:w="2000"/>
      </w:tblGrid>
      <w:tr>
        <w:trPr>
          <w:tblHeader/>
        </w:trPr>
        <w:tc>
          <w:tcPr>
            <w:tcW w:type="dxa" w:w="1700"/>
            <w:shd w:fill="05132A" w:color="auto" w:val="clear"/>
            <w:tcMar>
              <w:top w:type="dxa" w:w="80"/>
              <w:left w:type="dxa" w:w="110"/>
              <w:bottom w:type="dxa" w:w="80"/>
              <w:right w:type="dxa" w:w="110"/>
            </w:tcMar>
          </w:tcPr>
          <w:p>
            <w:pPr>
              <w:spacing w:after="0" w:line="252"/>
            </w:pPr>
            <w:r>
              <w:rPr>
                <w:rFonts w:ascii="Montserrat" w:cs="Montserrat" w:eastAsia="Montserrat" w:hAnsi="Montserrat"/>
                <w:b/>
                <w:bCs/>
                <w:i w:val="false"/>
                <w:iCs w:val="false"/>
                <w:caps w:val="false"/>
                <w:color w:val="FFFFFF"/>
                <w:sz w:val="19"/>
                <w:szCs w:val="19"/>
              </w:rPr>
              <w:t xml:space="preserve">Connector group</w:t>
            </w:r>
          </w:p>
        </w:tc>
        <w:tc>
          <w:tcPr>
            <w:tcW w:type="dxa" w:w="5326"/>
            <w:shd w:fill="05132A" w:color="auto" w:val="clear"/>
            <w:tcMar>
              <w:top w:type="dxa" w:w="80"/>
              <w:left w:type="dxa" w:w="110"/>
              <w:bottom w:type="dxa" w:w="80"/>
              <w:right w:type="dxa" w:w="110"/>
            </w:tcMar>
          </w:tcPr>
          <w:p>
            <w:pPr>
              <w:spacing w:after="0" w:line="252"/>
            </w:pPr>
            <w:r>
              <w:rPr>
                <w:rFonts w:ascii="Montserrat" w:cs="Montserrat" w:eastAsia="Montserrat" w:hAnsi="Montserrat"/>
                <w:b/>
                <w:bCs/>
                <w:i w:val="false"/>
                <w:iCs w:val="false"/>
                <w:caps w:val="false"/>
                <w:color w:val="FFFFFF"/>
                <w:sz w:val="19"/>
                <w:szCs w:val="19"/>
              </w:rPr>
              <w:t xml:space="preserve">Connectors</w:t>
            </w:r>
          </w:p>
        </w:tc>
        <w:tc>
          <w:tcPr>
            <w:tcW w:type="dxa" w:w="2000"/>
            <w:shd w:fill="05132A" w:color="auto" w:val="clear"/>
            <w:tcMar>
              <w:top w:type="dxa" w:w="80"/>
              <w:left w:type="dxa" w:w="110"/>
              <w:bottom w:type="dxa" w:w="80"/>
              <w:right w:type="dxa" w:w="110"/>
            </w:tcMar>
          </w:tcPr>
          <w:p>
            <w:pPr>
              <w:spacing w:after="0" w:line="252"/>
            </w:pPr>
            <w:r>
              <w:rPr>
                <w:rFonts w:ascii="Montserrat" w:cs="Montserrat" w:eastAsia="Montserrat" w:hAnsi="Montserrat"/>
                <w:b/>
                <w:bCs/>
                <w:i w:val="false"/>
                <w:iCs w:val="false"/>
                <w:caps w:val="false"/>
                <w:color w:val="FFFFFF"/>
                <w:sz w:val="19"/>
                <w:szCs w:val="19"/>
              </w:rPr>
              <w:t xml:space="preserve">Rule</w:t>
            </w:r>
          </w:p>
        </w:tc>
      </w:tr>
      <w:tr>
        <w:tc>
          <w:tcPr>
            <w:tcW w:type="dxa" w:w="1700"/>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Business</w:t>
            </w:r>
          </w:p>
        </w:tc>
        <w:tc>
          <w:tcPr>
            <w:tcW w:type="dxa" w:w="5326"/>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Dataverse, SharePoint, Office 365 Outlook, Microsoft Teams, Approvals, AI Builder, Word Online (Business), DocuSign, QuickBooks Online</w:t>
            </w:r>
          </w:p>
        </w:tc>
        <w:tc>
          <w:tcPr>
            <w:tcW w:type="dxa" w:w="2000"/>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Permitted; may share data with each other</w:t>
            </w:r>
          </w:p>
        </w:tc>
      </w:tr>
      <w:tr>
        <w:tc>
          <w:tcPr>
            <w:tcW w:type="dxa" w:w="1700"/>
            <w:shd w:fill="F7F5F2" w:color="auto" w:val="clear"/>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Blocked</w:t>
            </w:r>
          </w:p>
        </w:tc>
        <w:tc>
          <w:tcPr>
            <w:tcW w:type="dxa" w:w="5326"/>
            <w:shd w:fill="F7F5F2" w:color="auto" w:val="clear"/>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Consumer social, personal storage, and any connector the solution does not need</w:t>
            </w:r>
          </w:p>
        </w:tc>
        <w:tc>
          <w:tcPr>
            <w:tcW w:type="dxa" w:w="2000"/>
            <w:shd w:fill="F7F5F2" w:color="auto" w:val="clear"/>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Blocked in both environments</w:t>
            </w:r>
          </w:p>
        </w:tc>
      </w:tr>
    </w:tbl>
    <w:p>
      <w:pPr>
        <w:spacing w:after="160" w:before="0" w:line="276"/>
        <w:jc w:val="left"/>
      </w:pPr>
      <w:r>
        <w:rPr>
          <w:rFonts w:ascii="Inter" w:cs="Inter" w:eastAsia="Inter" w:hAnsi="Inter"/>
          <w:b w:val="false"/>
          <w:bCs w:val="false"/>
          <w:i w:val="false"/>
          <w:iCs w:val="false"/>
          <w:caps w:val="false"/>
          <w:color w:val="05132A"/>
          <w:sz w:val="21"/>
          <w:szCs w:val="21"/>
        </w:rPr>
        <w:t xml:space="preserve">Two configuration notes carry over from the architecture. The WordPress / Gravity Forms intake uses an HTTP request trigger, which is a premium capability with DLP implications; it is scoped to the intake flow only and secured with a shared secret. If tenant DLP blocks it, the fallback is a scheduled REST pull or a structured-email intake, with no change to any downstream component. All external connections are owned by the service account, not a personal login, so access is governed centrally and survives staff changes.</w:t>
      </w:r>
    </w:p>
    <w:p>
      <w:pPr>
        <w:pStyle w:val="Heading1"/>
        <w:pBdr>
          <w:bottom w:val="single" w:color="C99A52" w:sz="12" w:space="6"/>
        </w:pBdr>
        <w:spacing w:after="160" w:before="360"/>
      </w:pPr>
      <w:r>
        <w:rPr>
          <w:rFonts w:ascii="Montserrat" w:cs="Montserrat" w:eastAsia="Montserrat" w:hAnsi="Montserrat"/>
          <w:b/>
          <w:bCs/>
          <w:i w:val="false"/>
          <w:iCs w:val="false"/>
          <w:caps w:val="false"/>
          <w:color w:val="05132A"/>
          <w:sz w:val="30"/>
          <w:szCs w:val="30"/>
        </w:rPr>
        <w:t xml:space="preserve">7. Data protection stance</w:t>
      </w:r>
    </w:p>
    <w:p>
      <w:pPr>
        <w:spacing w:after="160" w:before="0" w:line="276"/>
        <w:jc w:val="left"/>
      </w:pPr>
      <w:r>
        <w:rPr>
          <w:rFonts w:ascii="Inter" w:cs="Inter" w:eastAsia="Inter" w:hAnsi="Inter"/>
          <w:b w:val="false"/>
          <w:bCs w:val="false"/>
          <w:i w:val="false"/>
          <w:iCs w:val="false"/>
          <w:caps w:val="false"/>
          <w:color w:val="05132A"/>
          <w:sz w:val="21"/>
          <w:szCs w:val="21"/>
        </w:rPr>
        <w:t xml:space="preserve">Three constraints are built into the solution so the automation stays inside Revitalise's published position and current UK law — the Data (Use and Access) Act 2025, in force 5 February 2026.</w:t>
      </w:r>
    </w:p>
    <w:p>
      <w:pPr>
        <w:pStyle w:val="ListParagraph"/>
        <w:numPr>
          <w:ilvl w:val="0"/>
          <w:numId w:val="2"/>
        </w:numPr>
        <w:spacing w:after="90" w:line="264"/>
      </w:pPr>
      <w:r>
        <w:rPr>
          <w:rFonts w:ascii="Inter" w:cs="Inter" w:eastAsia="Inter" w:hAnsi="Inter"/>
          <w:b/>
          <w:bCs/>
          <w:i w:val="false"/>
          <w:iCs w:val="false"/>
          <w:caps w:val="false"/>
          <w:color w:val="05132A"/>
          <w:sz w:val="21"/>
          <w:szCs w:val="21"/>
        </w:rPr>
        <w:t xml:space="preserve">Scoring is automatic, with human oversight and override. </w:t>
      </w:r>
      <w:r>
        <w:rPr>
          <w:rFonts w:ascii="Inter" w:cs="Inter" w:eastAsia="Inter" w:hAnsi="Inter"/>
          <w:b w:val="false"/>
          <w:bCs w:val="false"/>
          <w:i w:val="false"/>
          <w:iCs w:val="false"/>
          <w:caps w:val="false"/>
          <w:color w:val="05132A"/>
          <w:sz w:val="21"/>
          <w:szCs w:val="21"/>
        </w:rPr>
        <w:t xml:space="preserve">The scoring flow calculates the circumstance score from the applicant's wellbeing answers and applies the knockout threshold and income ceiling Emily holds in Settings, then sets the status. Emily does not confirm each rejection by hand; she reviews the borderline cases the flow flags and can adjust the threshold or override any outcome, and trustees make the funding decision. The disability and health condition data and the free-text narrative do not feed the score. Whether automatic rejection at the threshold satisfies Revitalise's automated-decision position under the DUAA 2025 is a point the DPO confirms (section 8).</w:t>
      </w:r>
    </w:p>
    <w:p>
      <w:pPr>
        <w:pStyle w:val="ListParagraph"/>
        <w:numPr>
          <w:ilvl w:val="0"/>
          <w:numId w:val="2"/>
        </w:numPr>
        <w:spacing w:after="90" w:line="264"/>
      </w:pPr>
      <w:r>
        <w:rPr>
          <w:rFonts w:ascii="Inter" w:cs="Inter" w:eastAsia="Inter" w:hAnsi="Inter"/>
          <w:b/>
          <w:bCs/>
          <w:i w:val="false"/>
          <w:iCs w:val="false"/>
          <w:caps w:val="false"/>
          <w:color w:val="05132A"/>
          <w:sz w:val="21"/>
          <w:szCs w:val="21"/>
        </w:rPr>
        <w:t xml:space="preserve">UK data residency. </w:t>
      </w:r>
      <w:r>
        <w:rPr>
          <w:rFonts w:ascii="Inter" w:cs="Inter" w:eastAsia="Inter" w:hAnsi="Inter"/>
          <w:b w:val="false"/>
          <w:bCs w:val="false"/>
          <w:i w:val="false"/>
          <w:iCs w:val="false"/>
          <w:caps w:val="false"/>
          <w:color w:val="05132A"/>
          <w:sz w:val="21"/>
          <w:szCs w:val="21"/>
        </w:rPr>
        <w:t xml:space="preserve">The Power Platform environments, Dataverse, AI Builder, DocuSign, and QuickBooks Online connections are configured to keep processing in the UK, matching the “no transfers outside the UK” commitment. Residency is verified during environment setup and integration build.</w:t>
      </w:r>
    </w:p>
    <w:p>
      <w:pPr>
        <w:pStyle w:val="ListParagraph"/>
        <w:numPr>
          <w:ilvl w:val="0"/>
          <w:numId w:val="2"/>
        </w:numPr>
        <w:spacing w:after="90" w:line="264"/>
      </w:pPr>
      <w:r>
        <w:rPr>
          <w:rFonts w:ascii="Inter" w:cs="Inter" w:eastAsia="Inter" w:hAnsi="Inter"/>
          <w:b/>
          <w:bCs/>
          <w:i w:val="false"/>
          <w:iCs w:val="false"/>
          <w:caps w:val="false"/>
          <w:color w:val="05132A"/>
          <w:sz w:val="21"/>
          <w:szCs w:val="21"/>
        </w:rPr>
        <w:t xml:space="preserve">Least-privilege access. </w:t>
      </w:r>
      <w:r>
        <w:rPr>
          <w:rFonts w:ascii="Inter" w:cs="Inter" w:eastAsia="Inter" w:hAnsi="Inter"/>
          <w:b w:val="false"/>
          <w:bCs w:val="false"/>
          <w:i w:val="false"/>
          <w:iCs w:val="false"/>
          <w:caps w:val="false"/>
          <w:color w:val="05132A"/>
          <w:sz w:val="21"/>
          <w:szCs w:val="21"/>
        </w:rPr>
        <w:t xml:space="preserve">Special-category and identity fields are readable only by the roles that need them; trustees reach eligible applications through the Dataverse app with identity columns hidden by field-level security and free-text AI-redacted. This is enforced by the Security Model (WBS 0.5), not by this framework.</w:t>
      </w:r>
    </w:p>
    <w:p>
      <w:pPr>
        <w:spacing w:after="160" w:before="0" w:line="276"/>
        <w:jc w:val="left"/>
      </w:pPr>
      <w:r>
        <w:rPr>
          <w:rFonts w:ascii="Inter" w:cs="Inter" w:eastAsia="Inter" w:hAnsi="Inter"/>
          <w:b w:val="false"/>
          <w:bCs w:val="false"/>
          <w:i w:val="false"/>
          <w:iCs w:val="false"/>
          <w:caps w:val="false"/>
          <w:color w:val="05132A"/>
          <w:sz w:val="21"/>
          <w:szCs w:val="21"/>
        </w:rPr>
        <w:t xml:space="preserve">Lawful bases are Revitalise's own: UK GDPR Article 6 for personal data, with Article 9(2)(b) (social protection) and 9(2)(h) (health and social care) for the special-category fields, as set out in the Privacy Notice.</w:t>
      </w:r>
    </w:p>
    <w:p>
      <w:pPr>
        <w:pStyle w:val="Heading1"/>
        <w:pBdr>
          <w:bottom w:val="single" w:color="C99A52" w:sz="12" w:space="6"/>
        </w:pBdr>
        <w:spacing w:after="160" w:before="360"/>
      </w:pPr>
      <w:r>
        <w:rPr>
          <w:rFonts w:ascii="Montserrat" w:cs="Montserrat" w:eastAsia="Montserrat" w:hAnsi="Montserrat"/>
          <w:b/>
          <w:bCs/>
          <w:i w:val="false"/>
          <w:iCs w:val="false"/>
          <w:caps w:val="false"/>
          <w:color w:val="05132A"/>
          <w:sz w:val="30"/>
          <w:szCs w:val="30"/>
        </w:rPr>
        <w:t xml:space="preserve">8. Review, sign-off and remaining artefacts</w:t>
      </w:r>
    </w:p>
    <w:p>
      <w:pPr>
        <w:spacing w:after="160" w:before="0" w:line="276"/>
        <w:jc w:val="left"/>
      </w:pPr>
      <w:r>
        <w:rPr>
          <w:rFonts w:ascii="Inter" w:cs="Inter" w:eastAsia="Inter" w:hAnsi="Inter"/>
          <w:b w:val="false"/>
          <w:bCs w:val="false"/>
          <w:i w:val="false"/>
          <w:iCs w:val="false"/>
          <w:caps w:val="false"/>
          <w:color w:val="05132A"/>
          <w:sz w:val="21"/>
          <w:szCs w:val="21"/>
        </w:rPr>
        <w:t xml:space="preserve">This framework is reviewed at least annually, and whenever the Privacy Notice, the retention schedule, or the connector set changes.</w:t>
      </w:r>
    </w:p>
    <w:p>
      <w:pPr>
        <w:spacing w:after="160" w:before="0" w:line="276"/>
        <w:jc w:val="left"/>
      </w:pPr>
      <w:r>
        <w:rPr>
          <w:rFonts w:ascii="Inter" w:cs="Inter" w:eastAsia="Inter" w:hAnsi="Inter"/>
          <w:b w:val="false"/>
          <w:bCs w:val="false"/>
          <w:i w:val="false"/>
          <w:iCs w:val="false"/>
          <w:caps w:val="false"/>
          <w:color w:val="05132A"/>
          <w:sz w:val="21"/>
          <w:szCs w:val="21"/>
        </w:rPr>
        <w:t>Before build starts on the new basis, the DPO should confirm three points that this framework implements but does not decide: that field-level security replacing the earlier single-key-holder anonymisation is accepted; that automatic rejection at the configurable threshold, with Emily's oversight and override, satisfies Revitalise's automated-decision position; and that 6-year retention of the health free-text remains preferred over earlier minimisation.</w:t>
      </w:r>
    </w:p>
    <w:p>
      <w:pPr>
        <w:spacing w:after="160" w:before="0" w:line="276"/>
        <w:jc w:val="left"/>
      </w:pPr>
      <w:r>
        <w:rPr>
          <w:rFonts w:ascii="Inter" w:cs="Inter" w:eastAsia="Inter" w:hAnsi="Inter"/>
          <w:b w:val="false"/>
          <w:bCs w:val="false"/>
          <w:i w:val="false"/>
          <w:iCs w:val="false"/>
          <w:caps w:val="false"/>
          <w:color w:val="05132A"/>
          <w:sz w:val="21"/>
          <w:szCs w:val="21"/>
        </w:rPr>
        <w:t xml:space="preserve">Remaining 0.7 artefacts, in order:</w:t>
      </w:r>
    </w:p>
    <w:p>
      <w:pPr>
        <w:pStyle w:val="ListParagraph"/>
        <w:numPr>
          <w:ilvl w:val="0"/>
          <w:numId w:val="3"/>
        </w:numPr>
        <w:spacing w:after="90" w:line="264"/>
      </w:pPr>
      <w:r>
        <w:rPr>
          <w:rFonts w:ascii="Inter" w:cs="Inter" w:eastAsia="Inter" w:hAnsi="Inter"/>
          <w:b w:val="false"/>
          <w:bCs w:val="false"/>
          <w:i w:val="false"/>
          <w:iCs w:val="false"/>
          <w:caps w:val="false"/>
          <w:color w:val="05132A"/>
          <w:sz w:val="21"/>
          <w:szCs w:val="21"/>
        </w:rPr>
        <w:t xml:space="preserve">DPIA — recommended before go-live, because the solution processes special-category health data at scale. It documents the risks and the mitigations already designed in: human oversight and override of the automated scoring, UK residency, least privilege, and automated deletion.</w:t>
      </w:r>
    </w:p>
    <w:p>
      <w:pPr>
        <w:pStyle w:val="ListParagraph"/>
        <w:numPr>
          <w:ilvl w:val="0"/>
          <w:numId w:val="3"/>
        </w:numPr>
        <w:spacing w:after="90" w:line="264"/>
      </w:pPr>
      <w:r>
        <w:rPr>
          <w:rFonts w:ascii="Inter" w:cs="Inter" w:eastAsia="Inter" w:hAnsi="Inter"/>
          <w:b w:val="false"/>
          <w:bCs w:val="false"/>
          <w:i w:val="false"/>
          <w:iCs w:val="false"/>
          <w:caps w:val="false"/>
          <w:color w:val="05132A"/>
          <w:sz w:val="21"/>
          <w:szCs w:val="21"/>
        </w:rPr>
        <w:t xml:space="preserve">Record of Processing Activities (RoPA) — the Article 30 register: purposes, categories of data and recipients, retention, and safeguards. Most of the content is already captured in Sections 3 to 7 and can be lifted into Revitalise's RoPA template.</w:t>
      </w:r>
    </w:p>
    <w:p>
      <w:pPr>
        <w:pStyle w:val="ListParagraph"/>
        <w:numPr>
          <w:ilvl w:val="0"/>
          <w:numId w:val="3"/>
        </w:numPr>
        <w:spacing w:after="90" w:line="264"/>
      </w:pPr>
      <w:r>
        <w:rPr>
          <w:rFonts w:ascii="Inter" w:cs="Inter" w:eastAsia="Inter" w:hAnsi="Inter"/>
          <w:b w:val="false"/>
          <w:bCs w:val="false"/>
          <w:i w:val="false"/>
          <w:iCs w:val="false"/>
          <w:caps w:val="false"/>
          <w:color w:val="05132A"/>
          <w:sz w:val="21"/>
          <w:szCs w:val="21"/>
        </w:rPr>
        <w:t xml:space="preserve">DLP policy build — apply the connector policy in Section 6 to both environments during setup (WBS 0.2) and record the result.</w:t>
      </w:r>
    </w:p>
    <w:p>
      <w:pPr>
        <w:spacing w:after="160" w:before="0" w:line="276"/>
        <w:jc w:val="left"/>
      </w:pPr>
      <w:r>
        <w:rPr>
          <w:rFonts w:ascii="Inter" w:cs="Inter" w:eastAsia="Inter" w:hAnsi="Inter"/>
          <w:b w:val="false"/>
          <w:bCs w:val="false"/>
          <w:i w:val="false"/>
          <w:iCs w:val="false"/>
          <w:caps w:val="false"/>
          <w:color w:val="05132A"/>
          <w:sz w:val="21"/>
          <w:szCs w:val="21"/>
        </w:rPr>
        <w:t xml:space="preserve">This framework builds on the Solution Architecture (v0.4, Section 8) and reads alongside the Security Model (WBS 0.5), the ALM Runbook (WBS 0.6), and the Governance Runbook (WBS 0.8).</w:t>
      </w:r>
    </w:p>
    <w:p>
      <w:pPr>
        <w:pBdr>
          <w:top w:val="single" w:color="C99A52" w:sz="8" w:space="8"/>
        </w:pBdr>
        <w:spacing w:after="0" w:before="480"/>
      </w:pPr>
      <w:r>
        <w:rPr>
          <w:rFonts w:ascii="Inter" w:cs="Inter" w:eastAsia="Inter" w:hAnsi="Inter"/>
          <w:b w:val="false"/>
          <w:bCs w:val="false"/>
          <w:i/>
          <w:iCs/>
          <w:caps w:val="false"/>
          <w:color w:val="8A9099"/>
          <w:sz w:val="18"/>
          <w:szCs w:val="18"/>
        </w:rPr>
        <w:t xml:space="preserve">Prepared by Xander Lykopoulos · Argelis Consultancy · Architectuur tussen ambitie en IT</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DE3" w:sz="3" w:space="6"/>
      </w:pBdr>
      <w:tabs>
        <w:tab w:val="right" w:pos="9026"/>
      </w:tabs>
      <w:spacing w:before="60"/>
    </w:pPr>
    <w:r>
      <w:rPr>
        <w:rFonts w:ascii="Inter" w:cs="Inter" w:eastAsia="Inter" w:hAnsi="Inter"/>
        <w:b w:val="false"/>
        <w:bCs w:val="false"/>
        <w:i w:val="false"/>
        <w:iCs w:val="false"/>
        <w:caps w:val="false"/>
        <w:color w:val="8A9099"/>
        <w:sz w:val="15"/>
        <w:szCs w:val="15"/>
      </w:rPr>
      <w:t xml:space="preserve">Argelis Consultancy</w:t>
    </w:r>
    <w:r>
      <w:rPr>
        <w:rFonts w:ascii="Inter" w:cs="Inter" w:eastAsia="Inter" w:hAnsi="Inter"/>
      </w:rPr>
      <w:t xml:space="preserve">	</w:t>
    </w:r>
    <w:r>
      <w:rPr>
        <w:rFonts w:ascii="Inter" w:cs="Inter" w:eastAsia="Inter" w:hAnsi="Inter"/>
        <w:color w:val="8A9099"/>
        <w:sz w:val="15"/>
        <w:szCs w:val="15"/>
      </w:rPr>
      <w:t xml:space="preserve">Data Governance Framework — Revitalise Grant Automation  ·  v0.2 — Draft · Confidential ·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color w:val="C99A52"/>
      </w:rPr>
    </w:lvl>
  </w:abstractNum>
  <w:abstractNum w:abstractNumId="3" w15:restartNumberingAfterBreak="0">
    <w:multiLevelType w:val="hybridMultilevel"/>
    <w:lvl w:ilvl="0" w15:tentative="1">
      <w:start w:val="1"/>
      <w:numFmt w:val="decimal"/>
      <w:lvlText w:val="%1."/>
      <w:lvlJc w:val="left"/>
      <w:pPr>
        <w:ind w:left="360" w:hanging="2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color w:val="05132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pPr>
    <w:rPr>
      <w:rFonts w:ascii="Montserrat" w:cs="Montserrat" w:eastAsia="Montserrat" w:hAnsi="Montserrat"/>
      <w:b/>
      <w:bCs/>
      <w:color w:val="05132A"/>
      <w:sz w:val="30"/>
      <w:szCs w:val="30"/>
    </w:rPr>
  </w:style>
  <w:style w:type="paragraph" w:styleId="Heading2">
    <w:name w:val="Heading 2"/>
    <w:basedOn w:val="Normal"/>
    <w:next w:val="Normal"/>
    <w:qFormat/>
    <w:pPr>
      <w:spacing w:after="120" w:before="260"/>
    </w:pPr>
    <w:rPr>
      <w:rFonts w:ascii="Montserrat" w:cs="Montserrat" w:eastAsia="Montserrat" w:hAnsi="Montserrat"/>
      <w:b/>
      <w:bCs/>
      <w:color w:val="05132A"/>
      <w:sz w:val="24"/>
      <w:szCs w:val="24"/>
    </w:rPr>
  </w:style>
  <w:style w:type="paragraph" w:styleId="Heading3">
    <w:name w:val="Heading 3"/>
    <w:basedOn w:val="Normal"/>
    <w:next w:val="Normal"/>
    <w:qFormat/>
    <w:pPr>
      <w:spacing w:after="100" w:before="200"/>
    </w:pPr>
    <w:rPr>
      <w:rFonts w:ascii="Montserrat" w:cs="Montserrat" w:eastAsia="Montserrat" w:hAnsi="Montserrat"/>
      <w:b/>
      <w:bCs/>
      <w:color w:val="C99A52"/>
      <w:sz w:val="21"/>
      <w:szCs w:val="21"/>
    </w:rPr>
  </w:style>
</w:styles>
</file>

<file path=word/_rels/document.xml.rels><?xml version='1.0' encoding='UTF-8' standalone='yes'?>
<Relationships xmlns="http://schemas.openxmlformats.org/package/2006/relationships"><Relationship Id="rId8" Type="http://schemas.openxmlformats.org/officeDocument/2006/relationships/image" Target="media/66617952c1fc47261b9550e294056fd7eaee90ee.png"/><Relationship Id="rId3" Type="http://schemas.openxmlformats.org/officeDocument/2006/relationships/footnotes" Target="footnotes.xml"/><Relationship Id="rId7" Type="http://schemas.openxmlformats.org/officeDocument/2006/relationships/footer" Target="footer1.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customXml" Target="../customXml/item1.xml"/><Relationship Id="rId4" Type="http://schemas.openxmlformats.org/officeDocument/2006/relationships/endnotes" Target="endnotes.xml"/><Relationship Id="rId9" Type="http://schemas.openxmlformats.org/officeDocument/2006/relationships/fontTable" Target="fontTable.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9BFD6B84F7029419816FFCF5AF812DE" ma:contentTypeVersion="9" ma:contentTypeDescription="Create a new document." ma:contentTypeScope="" ma:versionID="ae75f7d6110eb3c01e30b5864ecce8d9">
  <xsd:schema xmlns:xsd="http://www.w3.org/2001/XMLSchema" xmlns:xs="http://www.w3.org/2001/XMLSchema" xmlns:p="http://schemas.microsoft.com/office/2006/metadata/properties" xmlns:ns2="f28f5036-0c97-4fb2-9995-e6511ad4535b" xmlns:ns3="d3a2e4d4-5189-48ac-a210-e1294fbd99f3" targetNamespace="http://schemas.microsoft.com/office/2006/metadata/properties" ma:root="true" ma:fieldsID="5f758225586994ab2ed7147b7dc97d7e" ns2:_="" ns3:_="">
    <xsd:import namespace="f28f5036-0c97-4fb2-9995-e6511ad4535b"/>
    <xsd:import namespace="d3a2e4d4-5189-48ac-a210-e1294fbd99f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8f5036-0c97-4fb2-9995-e6511ad4535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3edfda32-ed56-4dd9-bd64-14fdcb8b12da"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d3a2e4d4-5189-48ac-a210-e1294fbd99f3"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309b44fd-1af0-4c99-971b-3abc3e199a55}" ma:internalName="TaxCatchAll" ma:showField="CatchAllData" ma:web="d3a2e4d4-5189-48ac-a210-e1294fbd99f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28f5036-0c97-4fb2-9995-e6511ad4535b">
      <Terms xmlns="http://schemas.microsoft.com/office/infopath/2007/PartnerControls"/>
    </lcf76f155ced4ddcb4097134ff3c332f>
    <TaxCatchAll xmlns="d3a2e4d4-5189-48ac-a210-e1294fbd99f3" xsi:nil="true"/>
  </documentManagement>
</p:properties>
</file>

<file path=customXml/itemProps1.xml><?xml version="1.0" encoding="utf-8"?>
<ds:datastoreItem xmlns:ds="http://schemas.openxmlformats.org/officeDocument/2006/customXml" ds:itemID="{87970133-9D2C-4731-AF87-3E6C92FA884E}"/>
</file>

<file path=customXml/itemProps2.xml><?xml version="1.0" encoding="utf-8"?>
<ds:datastoreItem xmlns:ds="http://schemas.openxmlformats.org/officeDocument/2006/customXml" ds:itemID="{3523DB52-B579-41CF-84D9-D595DAF25AE0}"/>
</file>

<file path=customXml/itemProps3.xml><?xml version="1.0" encoding="utf-8"?>
<ds:datastoreItem xmlns:ds="http://schemas.openxmlformats.org/officeDocument/2006/customXml" ds:itemID="{9D92B270-D02E-41DE-A663-0F3972BCC03D}"/>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governance framework (WBS 0.7)</dc:title>
  <dc:creator>Argelis Consultancy</dc:creator>
  <cp:lastModifiedBy>Un-named</cp:lastModifiedBy>
  <cp:revision>1</cp:revision>
  <dcterms:created xsi:type="dcterms:W3CDTF">2026-07-15T12:05:11Z</dcterms:created>
  <dcterms:modified xsi:type="dcterms:W3CDTF">2026-07-15T12:05:11Z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0x01010019BFD6B84F7029419816FFCF5AF812DE</vt:lpwstr>
  </property>
  <property fmtid="{D5CDD505-2E9C-101B-9397-08002B2CF9AE}" pid="3" name="MediaServiceImageTags">
    <vt:lpwstr/>
  </property>
</Properties>
</file>