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Montserrat" w:cs="Montserrat" w:eastAsia="Montserrat" w:hAnsi="Montserrat"/>
          <w:b/>
          <w:bCs/>
          <w:color w:val="05132A"/>
          <w:spacing w:val="40"/>
          <w:sz w:val="18"/>
          <w:szCs w:val="18"/>
        </w:rPr>
        <w:t xml:space="preserve">ARGELIS CONSULTANCY</w:t>
      </w:r>
    </w:p>
    <w:p>
      <w:pPr>
        <w:pBdr>
          <w:bottom w:val="single" w:color="C99A52" w:sz="12" w:space="8"/>
        </w:pBdr>
        <w:spacing w:after="60"/>
      </w:pPr>
      <w:r>
        <w:rPr>
          <w:rFonts w:ascii="Montserrat" w:cs="Montserrat" w:eastAsia="Montserrat" w:hAnsi="Montserrat"/>
          <w:b/>
          <w:bCs/>
          <w:color w:val="05132A"/>
          <w:sz w:val="52"/>
          <w:szCs w:val="52"/>
        </w:rPr>
        <w:t xml:space="preserve">Record of Processing Activities</w:t>
      </w:r>
    </w:p>
    <w:p>
      <w:pPr>
        <w:spacing w:after="260" w:before="120"/>
      </w:pPr>
      <w:r>
        <w:rPr>
          <w:rFonts w:ascii="Inter" w:cs="Inter" w:eastAsia="Inter" w:hAnsi="Inter"/>
          <w:i/>
          <w:iCs/>
          <w:color w:val="8A9099"/>
          <w:sz w:val="22"/>
          <w:szCs w:val="22"/>
        </w:rPr>
        <w:t xml:space="preserve">Grant Application Automation — the UK GDPR Article 30 register for the Dataverse grant solution.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600"/>
        <w:gridCol w:w="6760"/>
      </w:tblGrid>
      <w:tr>
        <w:tc>
          <w:tcPr>
            <w:tcW w:type="dxa" w:w="2600"/>
            <w:tcBorders>
              <w:top w:val="single" w:color="05132A" w:sz="4"/>
              <w:left w:val="single" w:color="05132A" w:sz="4"/>
              <w:bottom w:val="single" w:color="05132A" w:sz="4"/>
              <w:right w:val="single" w:color="C99A52" w:sz="4"/>
            </w:tcBorders>
            <w:shd w:fill="05132A" w:val="clear"/>
            <w:tcMar>
              <w:top w:type="dxa" w:w="90"/>
              <w:left w:type="dxa" w:w="160"/>
              <w:bottom w:type="dxa" w:w="90"/>
              <w:right w:type="dxa" w:w="120"/>
            </w:tcMar>
          </w:tcPr>
          <w:p>
            <w:r>
              <w:rPr>
                <w:rFonts w:ascii="Montserrat" w:cs="Montserrat" w:eastAsia="Montserrat" w:hAnsi="Montserrat"/>
                <w:b/>
                <w:bCs/>
                <w:color w:val="C99A52"/>
                <w:spacing w:val="16"/>
                <w:sz w:val="16"/>
                <w:szCs w:val="16"/>
              </w:rPr>
              <w:t xml:space="preserve">CLIENT</w:t>
            </w:r>
          </w:p>
        </w:tc>
        <w:tc>
          <w:tcPr>
            <w:tcW w:type="dxa" w:w="6760"/>
            <w:tcBorders>
              <w:top w:val="single" w:color="05132A" w:sz="4"/>
              <w:left w:val="none" w:color="FFFFFF" w:sz="0"/>
              <w:bottom w:val="single" w:color="05132A" w:sz="4"/>
              <w:right w:val="single" w:color="05132A" w:sz="4"/>
            </w:tcBorders>
            <w:shd w:fill="05132A" w:val="clear"/>
            <w:tcMar>
              <w:top w:type="dxa" w:w="90"/>
              <w:left w:type="dxa" w:w="160"/>
              <w:bottom w:type="dxa" w:w="90"/>
              <w:right w:type="dxa" w:w="120"/>
            </w:tcMar>
          </w:tcPr>
          <w:p>
            <w:r>
              <w:rPr>
                <w:rFonts w:ascii="Inter" w:cs="Inter" w:eastAsia="Inter" w:hAnsi="Inter"/>
                <w:color w:val="FFFFFF"/>
                <w:sz w:val="19"/>
                <w:szCs w:val="19"/>
              </w:rPr>
              <w:t xml:space="preserve">Revitalise</w:t>
            </w:r>
          </w:p>
        </w:tc>
      </w:tr>
      <w:tr>
        <w:tc>
          <w:tcPr>
            <w:tcW w:type="dxa" w:w="2600"/>
            <w:tcBorders>
              <w:top w:val="single" w:color="05132A" w:sz="4"/>
              <w:left w:val="single" w:color="05132A" w:sz="4"/>
              <w:bottom w:val="single" w:color="05132A" w:sz="4"/>
              <w:right w:val="single" w:color="C99A52" w:sz="4"/>
            </w:tcBorders>
            <w:shd w:fill="05132A" w:val="clear"/>
            <w:tcMar>
              <w:top w:type="dxa" w:w="90"/>
              <w:left w:type="dxa" w:w="160"/>
              <w:bottom w:type="dxa" w:w="90"/>
              <w:right w:type="dxa" w:w="120"/>
            </w:tcMar>
          </w:tcPr>
          <w:p>
            <w:r>
              <w:rPr>
                <w:rFonts w:ascii="Montserrat" w:cs="Montserrat" w:eastAsia="Montserrat" w:hAnsi="Montserrat"/>
                <w:b/>
                <w:bCs/>
                <w:color w:val="C99A52"/>
                <w:spacing w:val="16"/>
                <w:sz w:val="16"/>
                <w:szCs w:val="16"/>
              </w:rPr>
              <w:t xml:space="preserve">PREPARED BY</w:t>
            </w:r>
          </w:p>
        </w:tc>
        <w:tc>
          <w:tcPr>
            <w:tcW w:type="dxa" w:w="6760"/>
            <w:tcBorders>
              <w:top w:val="single" w:color="05132A" w:sz="4"/>
              <w:left w:val="none" w:color="FFFFFF" w:sz="0"/>
              <w:bottom w:val="single" w:color="05132A" w:sz="4"/>
              <w:right w:val="single" w:color="05132A" w:sz="4"/>
            </w:tcBorders>
            <w:shd w:fill="05132A" w:val="clear"/>
            <w:tcMar>
              <w:top w:type="dxa" w:w="90"/>
              <w:left w:type="dxa" w:w="160"/>
              <w:bottom w:type="dxa" w:w="90"/>
              <w:right w:type="dxa" w:w="120"/>
            </w:tcMar>
          </w:tcPr>
          <w:p>
            <w:r>
              <w:rPr>
                <w:rFonts w:ascii="Inter" w:cs="Inter" w:eastAsia="Inter" w:hAnsi="Inter"/>
                <w:color w:val="FFFFFF"/>
                <w:sz w:val="19"/>
                <w:szCs w:val="19"/>
              </w:rPr>
              <w:t xml:space="preserve">Xander Lykopoulos — Argelis Consultancy</w:t>
            </w:r>
          </w:p>
        </w:tc>
      </w:tr>
      <w:tr>
        <w:tc>
          <w:tcPr>
            <w:tcW w:type="dxa" w:w="2600"/>
            <w:tcBorders>
              <w:top w:val="single" w:color="05132A" w:sz="4"/>
              <w:left w:val="single" w:color="05132A" w:sz="4"/>
              <w:bottom w:val="single" w:color="05132A" w:sz="4"/>
              <w:right w:val="single" w:color="C99A52" w:sz="4"/>
            </w:tcBorders>
            <w:shd w:fill="05132A" w:val="clear"/>
            <w:tcMar>
              <w:top w:type="dxa" w:w="90"/>
              <w:left w:type="dxa" w:w="160"/>
              <w:bottom w:type="dxa" w:w="90"/>
              <w:right w:type="dxa" w:w="120"/>
            </w:tcMar>
          </w:tcPr>
          <w:p>
            <w:r>
              <w:rPr>
                <w:rFonts w:ascii="Montserrat" w:cs="Montserrat" w:eastAsia="Montserrat" w:hAnsi="Montserrat"/>
                <w:b/>
                <w:bCs/>
                <w:color w:val="C99A52"/>
                <w:spacing w:val="16"/>
                <w:sz w:val="16"/>
                <w:szCs w:val="16"/>
              </w:rPr>
              <w:t xml:space="preserve">DELIVERABLE</w:t>
            </w:r>
          </w:p>
        </w:tc>
        <w:tc>
          <w:tcPr>
            <w:tcW w:type="dxa" w:w="6760"/>
            <w:tcBorders>
              <w:top w:val="single" w:color="05132A" w:sz="4"/>
              <w:left w:val="none" w:color="FFFFFF" w:sz="0"/>
              <w:bottom w:val="single" w:color="05132A" w:sz="4"/>
              <w:right w:val="single" w:color="05132A" w:sz="4"/>
            </w:tcBorders>
            <w:shd w:fill="05132A" w:val="clear"/>
            <w:tcMar>
              <w:top w:type="dxa" w:w="90"/>
              <w:left w:type="dxa" w:w="160"/>
              <w:bottom w:type="dxa" w:w="90"/>
              <w:right w:type="dxa" w:w="120"/>
            </w:tcMar>
          </w:tcPr>
          <w:p>
            <w:r>
              <w:rPr>
                <w:rFonts w:ascii="Inter" w:cs="Inter" w:eastAsia="Inter" w:hAnsi="Inter"/>
                <w:color w:val="FFFFFF"/>
                <w:sz w:val="19"/>
                <w:szCs w:val="19"/>
              </w:rPr>
              <w:t xml:space="preserve">Record of Processing Activities (WBS 0.7)</w:t>
            </w:r>
          </w:p>
        </w:tc>
      </w:tr>
      <w:tr>
        <w:tc>
          <w:tcPr>
            <w:tcW w:type="dxa" w:w="2600"/>
            <w:tcBorders>
              <w:top w:val="single" w:color="05132A" w:sz="4"/>
              <w:left w:val="single" w:color="05132A" w:sz="4"/>
              <w:bottom w:val="single" w:color="05132A" w:sz="4"/>
              <w:right w:val="single" w:color="C99A52" w:sz="4"/>
            </w:tcBorders>
            <w:shd w:fill="05132A" w:val="clear"/>
            <w:tcMar>
              <w:top w:type="dxa" w:w="90"/>
              <w:left w:type="dxa" w:w="160"/>
              <w:bottom w:type="dxa" w:w="90"/>
              <w:right w:type="dxa" w:w="120"/>
            </w:tcMar>
          </w:tcPr>
          <w:p>
            <w:r>
              <w:rPr>
                <w:rFonts w:ascii="Montserrat" w:cs="Montserrat" w:eastAsia="Montserrat" w:hAnsi="Montserrat"/>
                <w:b/>
                <w:bCs/>
                <w:color w:val="C99A52"/>
                <w:spacing w:val="16"/>
                <w:sz w:val="16"/>
                <w:szCs w:val="16"/>
              </w:rPr>
              <w:t xml:space="preserve">VERSION</w:t>
            </w:r>
          </w:p>
        </w:tc>
        <w:tc>
          <w:tcPr>
            <w:tcW w:type="dxa" w:w="6760"/>
            <w:tcBorders>
              <w:top w:val="single" w:color="05132A" w:sz="4"/>
              <w:left w:val="none" w:color="FFFFFF" w:sz="0"/>
              <w:bottom w:val="single" w:color="05132A" w:sz="4"/>
              <w:right w:val="single" w:color="05132A" w:sz="4"/>
            </w:tcBorders>
            <w:shd w:fill="05132A" w:val="clear"/>
            <w:tcMar>
              <w:top w:type="dxa" w:w="90"/>
              <w:left w:type="dxa" w:w="160"/>
              <w:bottom w:type="dxa" w:w="90"/>
              <w:right w:type="dxa" w:w="120"/>
            </w:tcMar>
          </w:tcPr>
          <w:p>
            <w:r>
              <w:rPr>
                <w:rFonts w:ascii="Inter" w:cs="Inter" w:eastAsia="Inter" w:hAnsi="Inter"/>
                <w:color w:val="FFFFFF"/>
                <w:sz w:val="19"/>
                <w:szCs w:val="19"/>
              </w:rPr>
              <w:t xml:space="preserve">v0.1 — Concept draft</w:t>
            </w:r>
          </w:p>
        </w:tc>
      </w:tr>
      <w:tr>
        <w:tc>
          <w:tcPr>
            <w:tcW w:type="dxa" w:w="2600"/>
            <w:tcBorders>
              <w:top w:val="single" w:color="05132A" w:sz="4"/>
              <w:left w:val="single" w:color="05132A" w:sz="4"/>
              <w:bottom w:val="single" w:color="05132A" w:sz="4"/>
              <w:right w:val="single" w:color="C99A52" w:sz="4"/>
            </w:tcBorders>
            <w:shd w:fill="05132A" w:val="clear"/>
            <w:tcMar>
              <w:top w:type="dxa" w:w="90"/>
              <w:left w:type="dxa" w:w="160"/>
              <w:bottom w:type="dxa" w:w="90"/>
              <w:right w:type="dxa" w:w="120"/>
            </w:tcMar>
          </w:tcPr>
          <w:p>
            <w:r>
              <w:rPr>
                <w:rFonts w:ascii="Montserrat" w:cs="Montserrat" w:eastAsia="Montserrat" w:hAnsi="Montserrat"/>
                <w:b/>
                <w:bCs/>
                <w:color w:val="C99A52"/>
                <w:spacing w:val="16"/>
                <w:sz w:val="16"/>
                <w:szCs w:val="16"/>
              </w:rPr>
              <w:t xml:space="preserve">DATE</w:t>
            </w:r>
          </w:p>
        </w:tc>
        <w:tc>
          <w:tcPr>
            <w:tcW w:type="dxa" w:w="6760"/>
            <w:tcBorders>
              <w:top w:val="single" w:color="05132A" w:sz="4"/>
              <w:left w:val="none" w:color="FFFFFF" w:sz="0"/>
              <w:bottom w:val="single" w:color="05132A" w:sz="4"/>
              <w:right w:val="single" w:color="05132A" w:sz="4"/>
            </w:tcBorders>
            <w:shd w:fill="05132A" w:val="clear"/>
            <w:tcMar>
              <w:top w:type="dxa" w:w="90"/>
              <w:left w:type="dxa" w:w="160"/>
              <w:bottom w:type="dxa" w:w="90"/>
              <w:right w:type="dxa" w:w="120"/>
            </w:tcMar>
          </w:tcPr>
          <w:p>
            <w:r>
              <w:rPr>
                <w:rFonts w:ascii="Inter" w:cs="Inter" w:eastAsia="Inter" w:hAnsi="Inter"/>
                <w:color w:val="FFFFFF"/>
                <w:sz w:val="19"/>
                <w:szCs w:val="19"/>
              </w:rPr>
              <w:t xml:space="preserve">15 July 2026</w:t>
            </w:r>
          </w:p>
        </w:tc>
      </w:tr>
      <w:tr>
        <w:tc>
          <w:tcPr>
            <w:tcW w:type="dxa" w:w="2600"/>
            <w:tcBorders>
              <w:top w:val="single" w:color="05132A" w:sz="4"/>
              <w:left w:val="single" w:color="05132A" w:sz="4"/>
              <w:bottom w:val="single" w:color="05132A" w:sz="4"/>
              <w:right w:val="single" w:color="C99A52" w:sz="4"/>
            </w:tcBorders>
            <w:shd w:fill="05132A" w:val="clear"/>
            <w:tcMar>
              <w:top w:type="dxa" w:w="90"/>
              <w:left w:type="dxa" w:w="160"/>
              <w:bottom w:type="dxa" w:w="90"/>
              <w:right w:type="dxa" w:w="120"/>
            </w:tcMar>
          </w:tcPr>
          <w:p>
            <w:r>
              <w:rPr>
                <w:rFonts w:ascii="Montserrat" w:cs="Montserrat" w:eastAsia="Montserrat" w:hAnsi="Montserrat"/>
                <w:b/>
                <w:bCs/>
                <w:color w:val="C99A52"/>
                <w:spacing w:val="16"/>
                <w:sz w:val="16"/>
                <w:szCs w:val="16"/>
              </w:rPr>
              <w:t xml:space="preserve">STATUS</w:t>
            </w:r>
          </w:p>
        </w:tc>
        <w:tc>
          <w:tcPr>
            <w:tcW w:type="dxa" w:w="6760"/>
            <w:tcBorders>
              <w:top w:val="single" w:color="05132A" w:sz="4"/>
              <w:left w:val="none" w:color="FFFFFF" w:sz="0"/>
              <w:bottom w:val="single" w:color="05132A" w:sz="4"/>
              <w:right w:val="single" w:color="05132A" w:sz="4"/>
            </w:tcBorders>
            <w:shd w:fill="05132A" w:val="clear"/>
            <w:tcMar>
              <w:top w:type="dxa" w:w="90"/>
              <w:left w:type="dxa" w:w="160"/>
              <w:bottom w:type="dxa" w:w="90"/>
              <w:right w:type="dxa" w:w="120"/>
            </w:tcMar>
          </w:tcPr>
          <w:p>
            <w:r>
              <w:rPr>
                <w:rFonts w:ascii="Inter" w:cs="Inter" w:eastAsia="Inter" w:hAnsi="Inter"/>
                <w:color w:val="FFFFFF"/>
                <w:sz w:val="19"/>
                <w:szCs w:val="19"/>
              </w:rPr>
              <w:t xml:space="preserve">Concept — for DPO review</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C99A52" w:sz="24"/>
              <w:bottom w:val="none" w:color="FFFFFF" w:sz="0"/>
              <w:right w:val="none" w:color="FFFFFF" w:sz="0"/>
            </w:tcBorders>
            <w:shd w:fill="F7F5F2" w:val="clear"/>
            <w:tcMar>
              <w:top w:type="dxa" w:w="140"/>
              <w:left w:type="dxa" w:w="220"/>
              <w:bottom w:type="dxa" w:w="140"/>
              <w:right w:type="dxa" w:w="220"/>
            </w:tcMar>
          </w:tcPr>
          <w:p>
            <w:pPr>
              <w:spacing w:after="60"/>
            </w:pPr>
            <w:r>
              <w:rPr>
                <w:rFonts w:ascii="Montserrat" w:cs="Montserrat" w:eastAsia="Montserrat" w:hAnsi="Montserrat"/>
                <w:b/>
                <w:bCs/>
                <w:color w:val="C99A52"/>
                <w:spacing w:val="20"/>
                <w:sz w:val="17"/>
                <w:szCs w:val="17"/>
              </w:rPr>
              <w:t xml:space="preserve">IN PLAIN TERMS</w:t>
            </w:r>
          </w:p>
          <w:p>
            <w:pPr>
              <w:spacing w:after="0" w:line="276"/>
            </w:pPr>
            <w:r>
              <w:rPr>
                <w:rFonts w:ascii="Inter" w:cs="Inter" w:eastAsia="Inter" w:hAnsi="Inter"/>
                <w:color w:val="1A1A1A"/>
                <w:sz w:val="21"/>
                <w:szCs w:val="21"/>
              </w:rPr>
              <w:t xml:space="preserve">A Record of Processing Activities is the charity's written register of what personal data it processes, why, who sees it, how long it is kept and how it is protected. This is a concept draft filled in from the agreed design; most of the content is lifted from the Data Governance Framework and Security Model. Revitalise's DPO reviews it, confirms the open points, and folds it into the charity's own RoPA template.</w:t>
            </w:r>
          </w:p>
        </w:tc>
      </w:tr>
    </w:tbl>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Contents</w:t>
      </w:r>
    </w:p>
    <w:p>
      <w:pPr>
        <w:spacing w:after="70"/>
      </w:pPr>
      <w:r>
        <w:rPr>
          <w:rFonts w:ascii="Montserrat" w:cs="Montserrat" w:eastAsia="Montserrat" w:hAnsi="Montserrat"/>
          <w:b/>
          <w:bCs/>
          <w:color w:val="C99A52"/>
          <w:sz w:val="20"/>
          <w:szCs w:val="20"/>
        </w:rPr>
        <w:t xml:space="preserve">1.  </w:t>
      </w:r>
      <w:r>
        <w:rPr>
          <w:rFonts w:ascii="Inter" w:cs="Inter" w:eastAsia="Inter" w:hAnsi="Inter"/>
          <w:color w:val="05132A"/>
          <w:sz w:val="21"/>
          <w:szCs w:val="21"/>
        </w:rPr>
        <w:t xml:space="preserve">Purpose and scope</w:t>
      </w:r>
    </w:p>
    <w:p>
      <w:pPr>
        <w:spacing w:after="70"/>
      </w:pPr>
      <w:r>
        <w:rPr>
          <w:rFonts w:ascii="Montserrat" w:cs="Montserrat" w:eastAsia="Montserrat" w:hAnsi="Montserrat"/>
          <w:b/>
          <w:bCs/>
          <w:color w:val="C99A52"/>
          <w:sz w:val="20"/>
          <w:szCs w:val="20"/>
        </w:rPr>
        <w:t xml:space="preserve">2.  </w:t>
      </w:r>
      <w:r>
        <w:rPr>
          <w:rFonts w:ascii="Inter" w:cs="Inter" w:eastAsia="Inter" w:hAnsi="Inter"/>
          <w:color w:val="05132A"/>
          <w:sz w:val="21"/>
          <w:szCs w:val="21"/>
        </w:rPr>
        <w:t xml:space="preserve">Controller, DPO and processor</w:t>
      </w:r>
    </w:p>
    <w:p>
      <w:pPr>
        <w:spacing w:after="70"/>
      </w:pPr>
      <w:r>
        <w:rPr>
          <w:rFonts w:ascii="Montserrat" w:cs="Montserrat" w:eastAsia="Montserrat" w:hAnsi="Montserrat"/>
          <w:b/>
          <w:bCs/>
          <w:color w:val="C99A52"/>
          <w:sz w:val="20"/>
          <w:szCs w:val="20"/>
        </w:rPr>
        <w:t xml:space="preserve">3.  </w:t>
      </w:r>
      <w:r>
        <w:rPr>
          <w:rFonts w:ascii="Inter" w:cs="Inter" w:eastAsia="Inter" w:hAnsi="Inter"/>
          <w:color w:val="05132A"/>
          <w:sz w:val="21"/>
          <w:szCs w:val="21"/>
        </w:rPr>
        <w:t xml:space="preserve">Record of the processing activity (Article 30(1))</w:t>
      </w:r>
    </w:p>
    <w:p>
      <w:pPr>
        <w:spacing w:after="70"/>
      </w:pPr>
      <w:r>
        <w:rPr>
          <w:rFonts w:ascii="Montserrat" w:cs="Montserrat" w:eastAsia="Montserrat" w:hAnsi="Montserrat"/>
          <w:b/>
          <w:bCs/>
          <w:color w:val="C99A52"/>
          <w:sz w:val="20"/>
          <w:szCs w:val="20"/>
        </w:rPr>
        <w:t xml:space="preserve">4.  </w:t>
      </w:r>
      <w:r>
        <w:rPr>
          <w:rFonts w:ascii="Inter" w:cs="Inter" w:eastAsia="Inter" w:hAnsi="Inter"/>
          <w:color w:val="05132A"/>
          <w:sz w:val="21"/>
          <w:szCs w:val="21"/>
        </w:rPr>
        <w:t xml:space="preserve">Categories of personal data and data subjects</w:t>
      </w:r>
    </w:p>
    <w:p>
      <w:pPr>
        <w:spacing w:after="70"/>
      </w:pPr>
      <w:r>
        <w:rPr>
          <w:rFonts w:ascii="Montserrat" w:cs="Montserrat" w:eastAsia="Montserrat" w:hAnsi="Montserrat"/>
          <w:b/>
          <w:bCs/>
          <w:color w:val="C99A52"/>
          <w:sz w:val="20"/>
          <w:szCs w:val="20"/>
        </w:rPr>
        <w:t xml:space="preserve">5.  </w:t>
      </w:r>
      <w:r>
        <w:rPr>
          <w:rFonts w:ascii="Inter" w:cs="Inter" w:eastAsia="Inter" w:hAnsi="Inter"/>
          <w:color w:val="05132A"/>
          <w:sz w:val="21"/>
          <w:szCs w:val="21"/>
        </w:rPr>
        <w:t xml:space="preserve">Recipients and international transfers</w:t>
      </w:r>
    </w:p>
    <w:p>
      <w:pPr>
        <w:spacing w:after="70"/>
      </w:pPr>
      <w:r>
        <w:rPr>
          <w:rFonts w:ascii="Montserrat" w:cs="Montserrat" w:eastAsia="Montserrat" w:hAnsi="Montserrat"/>
          <w:b/>
          <w:bCs/>
          <w:color w:val="C99A52"/>
          <w:sz w:val="20"/>
          <w:szCs w:val="20"/>
        </w:rPr>
        <w:t xml:space="preserve">6.  </w:t>
      </w:r>
      <w:r>
        <w:rPr>
          <w:rFonts w:ascii="Inter" w:cs="Inter" w:eastAsia="Inter" w:hAnsi="Inter"/>
          <w:color w:val="05132A"/>
          <w:sz w:val="21"/>
          <w:szCs w:val="21"/>
        </w:rPr>
        <w:t xml:space="preserve">Retention</w:t>
      </w:r>
    </w:p>
    <w:p>
      <w:pPr>
        <w:spacing w:after="70"/>
      </w:pPr>
      <w:r>
        <w:rPr>
          <w:rFonts w:ascii="Montserrat" w:cs="Montserrat" w:eastAsia="Montserrat" w:hAnsi="Montserrat"/>
          <w:b/>
          <w:bCs/>
          <w:color w:val="C99A52"/>
          <w:sz w:val="20"/>
          <w:szCs w:val="20"/>
        </w:rPr>
        <w:t xml:space="preserve">7.  </w:t>
      </w:r>
      <w:r>
        <w:rPr>
          <w:rFonts w:ascii="Inter" w:cs="Inter" w:eastAsia="Inter" w:hAnsi="Inter"/>
          <w:color w:val="05132A"/>
          <w:sz w:val="21"/>
          <w:szCs w:val="21"/>
        </w:rPr>
        <w:t xml:space="preserve">Security measures (Article 32)</w:t>
      </w:r>
    </w:p>
    <w:p>
      <w:pPr>
        <w:spacing w:after="70"/>
      </w:pPr>
      <w:r>
        <w:rPr>
          <w:rFonts w:ascii="Montserrat" w:cs="Montserrat" w:eastAsia="Montserrat" w:hAnsi="Montserrat"/>
          <w:b/>
          <w:bCs/>
          <w:color w:val="C99A52"/>
          <w:sz w:val="20"/>
          <w:szCs w:val="20"/>
        </w:rPr>
        <w:t xml:space="preserve">8.  </w:t>
      </w:r>
      <w:r>
        <w:rPr>
          <w:rFonts w:ascii="Inter" w:cs="Inter" w:eastAsia="Inter" w:hAnsi="Inter"/>
          <w:color w:val="05132A"/>
          <w:sz w:val="21"/>
          <w:szCs w:val="21"/>
        </w:rPr>
        <w:t xml:space="preserve">Processor record (Article 30(2))</w:t>
      </w:r>
    </w:p>
    <w:p>
      <w:pPr>
        <w:spacing w:after="70"/>
      </w:pPr>
      <w:r>
        <w:rPr>
          <w:rFonts w:ascii="Montserrat" w:cs="Montserrat" w:eastAsia="Montserrat" w:hAnsi="Montserrat"/>
          <w:b/>
          <w:bCs/>
          <w:color w:val="C99A52"/>
          <w:sz w:val="20"/>
          <w:szCs w:val="20"/>
        </w:rPr>
        <w:t xml:space="preserve">9.  </w:t>
      </w:r>
      <w:r>
        <w:rPr>
          <w:rFonts w:ascii="Inter" w:cs="Inter" w:eastAsia="Inter" w:hAnsi="Inter"/>
          <w:color w:val="05132A"/>
          <w:sz w:val="21"/>
          <w:szCs w:val="21"/>
        </w:rPr>
        <w:t xml:space="preserve">Maintenance and open items</w:t>
      </w:r>
    </w:p>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1.  Purpose and scope</w:t>
      </w:r>
    </w:p>
    <w:p>
      <w:pPr>
        <w:spacing w:after="160" w:line="276"/>
      </w:pPr>
      <w:r>
        <w:rPr>
          <w:rFonts w:ascii="Inter" w:cs="Inter" w:eastAsia="Inter" w:hAnsi="Inter"/>
          <w:color w:val="1A1A1A"/>
          <w:sz w:val="21"/>
          <w:szCs w:val="21"/>
        </w:rPr>
        <w:t xml:space="preserve">This is the Record of Processing Activities (RoPA) for the Revitalise grant application automation, required under UK GDPR Article 30. It records the single processing activity — assessing and administering respite grants — across the Dataverse solution and the systems that support it. It is a WBS 0.7 artefact and reads alongside the Data Governance Framework (v0.2), which holds the retention detail, and the Security Model (v0.1), which holds the access detail.</w:t>
      </w:r>
    </w:p>
    <w:p>
      <w:pPr>
        <w:spacing w:after="160" w:line="276"/>
      </w:pPr>
      <w:r>
        <w:rPr>
          <w:rFonts w:ascii="Inter" w:cs="Inter" w:eastAsia="Inter" w:hAnsi="Inter"/>
          <w:b/>
          <w:bCs/>
          <w:color w:val="1A1A1A"/>
          <w:sz w:val="21"/>
          <w:szCs w:val="21"/>
        </w:rPr>
        <w:t xml:space="preserve">This is a concept draft prepared by Argelis as processor. </w:t>
      </w:r>
      <w:r>
        <w:rPr>
          <w:rFonts w:ascii="Inter" w:cs="Inter" w:eastAsia="Inter" w:hAnsi="Inter"/>
          <w:color w:val="1A1A1A"/>
          <w:sz w:val="21"/>
          <w:szCs w:val="21"/>
        </w:rPr>
        <w:t xml:space="preserve">The lawful bases, retention periods and privacy commitments are Revitalise's own, taken from its Privacy Notice (updated 20 February 2026). This record documents those decisions; it does not change them and is not legal advice. Revitalise confirms and maintains it as controller.</w:t>
      </w:r>
    </w:p>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2.  Controller, DPO and processor</w:t>
      </w:r>
    </w:p>
    <w:tbl>
      <w:tblPr>
        <w:tblW w:type="dxa" w:w="9360"/>
        <w:tblBorders>
          <w:top w:val="single" w:color="D9DDE3" w:sz="4"/>
          <w:left w:val="single" w:color="D9DDE3" w:sz="4"/>
          <w:bottom w:val="single" w:color="D9DDE3" w:sz="4"/>
          <w:right w:val="single" w:color="D9DDE3" w:sz="4"/>
          <w:insideH w:val="single" w:color="D9DDE3" w:sz="4"/>
          <w:insideV w:val="single" w:color="D9DDE3" w:sz="4"/>
        </w:tblBorders>
      </w:tblPr>
      <w:tblGrid>
        <w:gridCol w:w="2900"/>
        <w:gridCol w:w="6460"/>
      </w:tblGrid>
      <w:tr>
        <w:trPr>
          <w:tblHeader/>
        </w:trPr>
        <w:tc>
          <w:tcPr>
            <w:tcW w:type="dxa" w:w="29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Article 30 field</w:t>
            </w:r>
          </w:p>
        </w:tc>
        <w:tc>
          <w:tcPr>
            <w:tcW w:type="dxa" w:w="646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Entry</w:t>
            </w:r>
          </w:p>
        </w:tc>
      </w:tr>
      <w:tr>
        <w:tc>
          <w:tcPr>
            <w:tcW w:type="dxa" w:w="29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Controller</w:t>
            </w:r>
          </w:p>
        </w:tc>
        <w:tc>
          <w:tcPr>
            <w:tcW w:type="dxa" w:w="64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Revitalise (charity). Owns the lawful bases, retention periods and Privacy Notice; approves this record.</w:t>
            </w:r>
          </w:p>
        </w:tc>
      </w:tr>
      <w:tr>
        <w:tc>
          <w:tcPr>
            <w:tcW w:type="dxa" w:w="29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Data Protection Officer</w:t>
            </w:r>
          </w:p>
        </w:tc>
        <w:tc>
          <w:tcPr>
            <w:tcW w:type="dxa" w:w="64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Revitalise's DPO. Signs off special-category retention, the field-level security approach and the automated-decision position.</w:t>
            </w:r>
          </w:p>
        </w:tc>
      </w:tr>
      <w:tr>
        <w:tc>
          <w:tcPr>
            <w:tcW w:type="dxa" w:w="29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Processor</w:t>
            </w:r>
          </w:p>
        </w:tc>
        <w:tc>
          <w:tcPr>
            <w:tcW w:type="dxa" w:w="64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Argelis Consultancy — Xander Lykopoulos. Builds and configures the solution on Revitalise's instruction.</w:t>
            </w:r>
          </w:p>
        </w:tc>
      </w:tr>
      <w:tr>
        <w:tc>
          <w:tcPr>
            <w:tcW w:type="dxa" w:w="29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Service identity</w:t>
            </w:r>
          </w:p>
        </w:tc>
        <w:tc>
          <w:tcPr>
            <w:tcW w:type="dxa" w:w="64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svc-grantautomation — the account that runs the flows and owns the external connections. Not a personal login.</w:t>
            </w:r>
          </w:p>
        </w:tc>
      </w:tr>
      <w:tr>
        <w:tc>
          <w:tcPr>
            <w:tcW w:type="dxa" w:w="29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Contact for this record</w:t>
            </w:r>
          </w:p>
        </w:tc>
        <w:tc>
          <w:tcPr>
            <w:tcW w:type="dxa" w:w="64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Revitalise's DPO. </w:t>
            </w:r>
          </w:p>
          <w:p>
            <w:pPr>
              <w:spacing w:after="0" w:line="264"/>
            </w:pPr>
            <w:r>
              <w:rPr>
                <w:rFonts w:ascii="Inter" w:cs="Inter" w:eastAsia="Inter" w:hAnsi="Inter"/>
                <w:color w:val="1A1A1A"/>
                <w:sz w:val="19"/>
                <w:szCs w:val="19"/>
              </w:rPr>
              <w:t xml:space="preserve">[TBC — confirm published contact details.]</w:t>
            </w:r>
          </w:p>
        </w:tc>
      </w:tr>
    </w:tbl>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3.  Record of the processing activity (Article 30(1))</w:t>
      </w:r>
    </w:p>
    <w:p>
      <w:pPr>
        <w:spacing w:after="160" w:line="276"/>
      </w:pPr>
      <w:r>
        <w:rPr>
          <w:rFonts w:ascii="Inter" w:cs="Inter" w:eastAsia="Inter" w:hAnsi="Inter"/>
          <w:color w:val="1A1A1A"/>
          <w:sz w:val="21"/>
          <w:szCs w:val="21"/>
        </w:rPr>
        <w:t xml:space="preserve">The solution supports one processing activity, described here against each Article 30(1) requirement. Sections 4 to 7 expand the categories, recipients, retention and security.</w:t>
      </w:r>
    </w:p>
    <w:tbl>
      <w:tblPr>
        <w:tblW w:type="dxa" w:w="9360"/>
        <w:tblBorders>
          <w:top w:val="single" w:color="D9DDE3" w:sz="4"/>
          <w:left w:val="single" w:color="D9DDE3" w:sz="4"/>
          <w:bottom w:val="single" w:color="D9DDE3" w:sz="4"/>
          <w:right w:val="single" w:color="D9DDE3" w:sz="4"/>
          <w:insideH w:val="single" w:color="D9DDE3" w:sz="4"/>
          <w:insideV w:val="single" w:color="D9DDE3" w:sz="4"/>
        </w:tblBorders>
      </w:tblPr>
      <w:tblGrid>
        <w:gridCol w:w="2900"/>
        <w:gridCol w:w="6460"/>
      </w:tblGrid>
      <w:tr>
        <w:trPr>
          <w:tblHeader/>
        </w:trPr>
        <w:tc>
          <w:tcPr>
            <w:tcW w:type="dxa" w:w="29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Article 30(1) field</w:t>
            </w:r>
          </w:p>
        </w:tc>
        <w:tc>
          <w:tcPr>
            <w:tcW w:type="dxa" w:w="646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Entry</w:t>
            </w:r>
          </w:p>
        </w:tc>
      </w:tr>
      <w:tr>
        <w:tc>
          <w:tcPr>
            <w:tcW w:type="dxa" w:w="29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Name of activity</w:t>
            </w:r>
          </w:p>
        </w:tc>
        <w:tc>
          <w:tcPr>
            <w:tcW w:type="dxa" w:w="64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Grant application assessment and administration</w:t>
            </w:r>
          </w:p>
        </w:tc>
      </w:tr>
      <w:tr>
        <w:tc>
          <w:tcPr>
            <w:tcW w:type="dxa" w:w="29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Purposes of the processing</w:t>
            </w:r>
          </w:p>
        </w:tc>
        <w:tc>
          <w:tcPr>
            <w:tcW w:type="dxa" w:w="64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To receive and assess grant applications, decide which to fund, pay successful grants, meet financial-record and safeguarding duties, and report using anonymised statistics</w:t>
            </w:r>
          </w:p>
        </w:tc>
      </w:tr>
      <w:tr>
        <w:tc>
          <w:tcPr>
            <w:tcW w:type="dxa" w:w="29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Categories of data subjects</w:t>
            </w:r>
          </w:p>
        </w:tc>
        <w:tc>
          <w:tcPr>
            <w:tcW w:type="dxa" w:w="64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Applicants; cared-for / support-recipients; helpers acting for applicants; referees, group members and emergency contacts; trustees; finance and admin staff (see Section 4)</w:t>
            </w:r>
          </w:p>
        </w:tc>
      </w:tr>
      <w:tr>
        <w:tc>
          <w:tcPr>
            <w:tcW w:type="dxa" w:w="29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Categories of personal data</w:t>
            </w:r>
          </w:p>
        </w:tc>
        <w:tc>
          <w:tcPr>
            <w:tcW w:type="dxa" w:w="64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Identity and contact data, financial data, wellbeing and eligibility answers, application narrative, and special-category health data (see Section 4)</w:t>
            </w:r>
          </w:p>
        </w:tc>
      </w:tr>
      <w:tr>
        <w:tc>
          <w:tcPr>
            <w:tcW w:type="dxa" w:w="29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Lawful basis (Article 6)</w:t>
            </w:r>
          </w:p>
        </w:tc>
        <w:tc>
          <w:tcPr>
            <w:tcW w:type="dxa" w:w="64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Processing necessary to assess and administer the grant, per the Privacy Notice</w:t>
            </w:r>
          </w:p>
        </w:tc>
      </w:tr>
      <w:tr>
        <w:tc>
          <w:tcPr>
            <w:tcW w:type="dxa" w:w="29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Special-category condition (Article 9)</w:t>
            </w:r>
          </w:p>
        </w:tc>
        <w:tc>
          <w:tcPr>
            <w:tcW w:type="dxa" w:w="64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Article 9(2)(b) social protection and 9(2)(h) health and social care</w:t>
            </w:r>
          </w:p>
        </w:tc>
      </w:tr>
      <w:tr>
        <w:tc>
          <w:tcPr>
            <w:tcW w:type="dxa" w:w="29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Categories of recipients</w:t>
            </w:r>
          </w:p>
        </w:tc>
        <w:tc>
          <w:tcPr>
            <w:tcW w:type="dxa" w:w="64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Internal roles (admin, finance, trustee); processors and sub-processors — Argelis, AI Builder, DocuSign, QuickBooks Online (see Section 5)</w:t>
            </w:r>
          </w:p>
        </w:tc>
      </w:tr>
      <w:tr>
        <w:tc>
          <w:tcPr>
            <w:tcW w:type="dxa" w:w="29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International transfers</w:t>
            </w:r>
          </w:p>
        </w:tc>
        <w:tc>
          <w:tcPr>
            <w:tcW w:type="dxa" w:w="64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None. Processing, storage and backup are kept in the UK region</w:t>
            </w:r>
          </w:p>
        </w:tc>
      </w:tr>
      <w:tr>
        <w:tc>
          <w:tcPr>
            <w:tcW w:type="dxa" w:w="29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Retention periods</w:t>
            </w:r>
          </w:p>
        </w:tc>
        <w:tc>
          <w:tcPr>
            <w:tcW w:type="dxa" w:w="64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By status and date: 6 years granted, 12 months rejected, 6 months withdrawn; anonymised statistics indefinite (see Section 6)</w:t>
            </w:r>
          </w:p>
        </w:tc>
      </w:tr>
      <w:tr>
        <w:tc>
          <w:tcPr>
            <w:tcW w:type="dxa" w:w="29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Security measures</w:t>
            </w:r>
          </w:p>
        </w:tc>
        <w:tc>
          <w:tcPr>
            <w:tcW w:type="dxa" w:w="64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Least-privilege roles, field-level security, MFA and Conditional Access, UK residency, DLP, native audit logging, automated retention and deletion (see Section 7)</w:t>
            </w:r>
          </w:p>
        </w:tc>
      </w:tr>
    </w:tbl>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4.  Categories of personal data and data subjects</w:t>
      </w:r>
    </w:p>
    <w:p>
      <w:pPr>
        <w:spacing w:after="160" w:line="276"/>
      </w:pPr>
      <w:r>
        <w:rPr>
          <w:rFonts w:ascii="Inter" w:cs="Inter" w:eastAsia="Inter" w:hAnsi="Inter"/>
          <w:color w:val="1A1A1A"/>
          <w:sz w:val="21"/>
          <w:szCs w:val="21"/>
        </w:rPr>
        <w:t xml:space="preserve">The solution classifies data into four tiers; the tier drives how tightly each field is controlled and how long it is kept. Operational logs hold no personal data and sit outside this register.</w:t>
      </w:r>
    </w:p>
    <w:tbl>
      <w:tblPr>
        <w:tblW w:type="dxa" w:w="9360"/>
        <w:tblBorders>
          <w:top w:val="single" w:color="D9DDE3" w:sz="4"/>
          <w:left w:val="single" w:color="D9DDE3" w:sz="4"/>
          <w:bottom w:val="single" w:color="D9DDE3" w:sz="4"/>
          <w:right w:val="single" w:color="D9DDE3" w:sz="4"/>
          <w:insideH w:val="single" w:color="D9DDE3" w:sz="4"/>
          <w:insideV w:val="single" w:color="D9DDE3" w:sz="4"/>
        </w:tblBorders>
      </w:tblPr>
      <w:tblGrid>
        <w:gridCol w:w="2100"/>
        <w:gridCol w:w="4700"/>
        <w:gridCol w:w="2560"/>
      </w:tblGrid>
      <w:tr>
        <w:trPr>
          <w:tblHeader/>
        </w:trPr>
        <w:tc>
          <w:tcPr>
            <w:tcW w:type="dxa" w:w="21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Tier</w:t>
            </w:r>
          </w:p>
        </w:tc>
        <w:tc>
          <w:tcPr>
            <w:tcW w:type="dxa" w:w="47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Examples in this solution</w:t>
            </w:r>
          </w:p>
        </w:tc>
        <w:tc>
          <w:tcPr>
            <w:tcW w:type="dxa" w:w="256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Data subjects</w:t>
            </w:r>
          </w:p>
        </w:tc>
      </w:tr>
      <w:tr>
        <w:tc>
          <w:tcPr>
            <w:tcW w:type="dxa" w:w="21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Special category (Article 9)</w:t>
            </w:r>
          </w:p>
        </w:tc>
        <w:tc>
          <w:tcPr>
            <w:tcW w:type="dxa" w:w="4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Applicant and support-recipient condition profiles, the 'other condition' free-text, benefit status, ethnic group where captured</w:t>
            </w:r>
          </w:p>
        </w:tc>
        <w:tc>
          <w:tcPr>
            <w:tcW w:type="dxa" w:w="25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Applicants; cared-for / support-recipients</w:t>
            </w:r>
          </w:p>
        </w:tc>
      </w:tr>
      <w:tr>
        <w:tc>
          <w:tcPr>
            <w:tcW w:type="dxa" w:w="21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Personal (Article 6)</w:t>
            </w:r>
          </w:p>
        </w:tc>
        <w:tc>
          <w:tcPr>
            <w:tcW w:type="dxa" w:w="47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Name, address, email, phone, date of birth, bank details; helper and contact identity</w:t>
            </w:r>
          </w:p>
        </w:tc>
        <w:tc>
          <w:tcPr>
            <w:tcW w:type="dxa" w:w="25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Applicants; helpers; referees, group members, emergency contacts</w:t>
            </w:r>
          </w:p>
        </w:tc>
      </w:tr>
      <w:tr>
        <w:tc>
          <w:tcPr>
            <w:tcW w:type="dxa" w:w="21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Pseudonymised</w:t>
            </w:r>
          </w:p>
        </w:tc>
        <w:tc>
          <w:tcPr>
            <w:tcW w:type="dxa" w:w="4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Pseudonymised ID (REV-A-00001), age range, location area, costs, scores, redacted narrative</w:t>
            </w:r>
          </w:p>
        </w:tc>
        <w:tc>
          <w:tcPr>
            <w:tcW w:type="dxa" w:w="25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Applicants — still personal data, follows the parent record's clock</w:t>
            </w:r>
          </w:p>
        </w:tc>
      </w:tr>
      <w:tr>
        <w:tc>
          <w:tcPr>
            <w:tcW w:type="dxa" w:w="21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Anonymised</w:t>
            </w:r>
          </w:p>
        </w:tc>
        <w:tc>
          <w:tcPr>
            <w:tcW w:type="dxa" w:w="47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Snapshot: age range, location area, condition areas, outcome, amount — no identifiers, never linked back</w:t>
            </w:r>
          </w:p>
        </w:tc>
        <w:tc>
          <w:tcPr>
            <w:tcW w:type="dxa" w:w="25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None — not personal data</w:t>
            </w:r>
          </w:p>
        </w:tc>
      </w:tr>
    </w:tbl>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5.  Recipients and international transfers</w:t>
      </w:r>
    </w:p>
    <w:p>
      <w:pPr>
        <w:spacing w:after="160" w:line="276"/>
      </w:pPr>
      <w:r>
        <w:rPr>
          <w:rFonts w:ascii="Inter" w:cs="Inter" w:eastAsia="Inter" w:hAnsi="Inter"/>
          <w:color w:val="1A1A1A"/>
          <w:sz w:val="21"/>
          <w:szCs w:val="21"/>
        </w:rPr>
        <w:t xml:space="preserve">Access inside the solution is by role, and every external connection is owned by the service account rather than a personal login. There are no transfers outside the UK.</w:t>
      </w:r>
    </w:p>
    <w:tbl>
      <w:tblPr>
        <w:tblW w:type="dxa" w:w="9360"/>
        <w:tblBorders>
          <w:top w:val="single" w:color="D9DDE3" w:sz="4"/>
          <w:left w:val="single" w:color="D9DDE3" w:sz="4"/>
          <w:bottom w:val="single" w:color="D9DDE3" w:sz="4"/>
          <w:right w:val="single" w:color="D9DDE3" w:sz="4"/>
          <w:insideH w:val="single" w:color="D9DDE3" w:sz="4"/>
          <w:insideV w:val="single" w:color="D9DDE3" w:sz="4"/>
        </w:tblBorders>
      </w:tblPr>
      <w:tblGrid>
        <w:gridCol w:w="2700"/>
        <w:gridCol w:w="2000"/>
        <w:gridCol w:w="4660"/>
      </w:tblGrid>
      <w:tr>
        <w:trPr>
          <w:tblHeader/>
        </w:trPr>
        <w:tc>
          <w:tcPr>
            <w:tcW w:type="dxa" w:w="27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Recipient</w:t>
            </w:r>
          </w:p>
        </w:tc>
        <w:tc>
          <w:tcPr>
            <w:tcW w:type="dxa" w:w="20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Category</w:t>
            </w:r>
          </w:p>
        </w:tc>
        <w:tc>
          <w:tcPr>
            <w:tcW w:type="dxa" w:w="466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What they receive</w:t>
            </w:r>
          </w:p>
        </w:tc>
      </w:tr>
      <w:tr>
        <w:tc>
          <w:tcPr>
            <w:tcW w:type="dxa" w:w="2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Admin role (Emily, service account)</w:t>
            </w:r>
          </w:p>
        </w:tc>
        <w:tc>
          <w:tcPr>
            <w:tcW w:type="dxa" w:w="20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Internal</w:t>
            </w:r>
          </w:p>
        </w:tc>
        <w:tc>
          <w:tcPr>
            <w:tcW w:type="dxa" w:w="46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Full record including special-category fields; owns settings and configuration</w:t>
            </w:r>
          </w:p>
        </w:tc>
      </w:tr>
      <w:tr>
        <w:tc>
          <w:tcPr>
            <w:tcW w:type="dxa" w:w="27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Finance role</w:t>
            </w:r>
          </w:p>
        </w:tc>
        <w:tc>
          <w:tcPr>
            <w:tcW w:type="dxa" w:w="20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Internal</w:t>
            </w:r>
          </w:p>
        </w:tc>
        <w:tc>
          <w:tcPr>
            <w:tcW w:type="dxa" w:w="46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Bank Account and Payment data only — the sole role that sees bank details</w:t>
            </w:r>
          </w:p>
        </w:tc>
      </w:tr>
      <w:tr>
        <w:tc>
          <w:tcPr>
            <w:tcW w:type="dxa" w:w="2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Trustee role</w:t>
            </w:r>
          </w:p>
        </w:tc>
        <w:tc>
          <w:tcPr>
            <w:tcW w:type="dxa" w:w="20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Internal</w:t>
            </w:r>
          </w:p>
        </w:tc>
        <w:tc>
          <w:tcPr>
            <w:tcW w:type="dxa" w:w="46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Redacted Application, Review and Grant through the app; identity hidden by field-level security</w:t>
            </w:r>
          </w:p>
        </w:tc>
      </w:tr>
      <w:tr>
        <w:tc>
          <w:tcPr>
            <w:tcW w:type="dxa" w:w="27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Argelis Consultancy</w:t>
            </w:r>
          </w:p>
        </w:tc>
        <w:tc>
          <w:tcPr>
            <w:tcW w:type="dxa" w:w="20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Processor</w:t>
            </w:r>
          </w:p>
        </w:tc>
        <w:tc>
          <w:tcPr>
            <w:tcW w:type="dxa" w:w="46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Access to build and configure on instruction</w:t>
            </w:r>
          </w:p>
        </w:tc>
      </w:tr>
      <w:tr>
        <w:tc>
          <w:tcPr>
            <w:tcW w:type="dxa" w:w="2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AI Builder</w:t>
            </w:r>
          </w:p>
        </w:tc>
        <w:tc>
          <w:tcPr>
            <w:tcW w:type="dxa" w:w="20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Processor function</w:t>
            </w:r>
          </w:p>
        </w:tc>
        <w:tc>
          <w:tcPr>
            <w:tcW w:type="dxa" w:w="46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Free-text narrative, for redaction, within the UK</w:t>
            </w:r>
          </w:p>
        </w:tc>
      </w:tr>
      <w:tr>
        <w:tc>
          <w:tcPr>
            <w:tcW w:type="dxa" w:w="27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DocuSign</w:t>
            </w:r>
          </w:p>
        </w:tc>
        <w:tc>
          <w:tcPr>
            <w:tcW w:type="dxa" w:w="20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Sub-processor</w:t>
            </w:r>
          </w:p>
        </w:tc>
        <w:tc>
          <w:tcPr>
            <w:tcW w:type="dxa" w:w="46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Signed acceptance envelopes; envelope purge matched to retention</w:t>
            </w:r>
          </w:p>
        </w:tc>
      </w:tr>
      <w:tr>
        <w:tc>
          <w:tcPr>
            <w:tcW w:type="dxa" w:w="2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QuickBooks Online</w:t>
            </w:r>
          </w:p>
        </w:tc>
        <w:tc>
          <w:tcPr>
            <w:tcW w:type="dxa" w:w="20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Sub-processor</w:t>
            </w:r>
          </w:p>
        </w:tc>
        <w:tc>
          <w:tcPr>
            <w:tcW w:type="dxa" w:w="46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Financial record — name, amount, date</w:t>
            </w:r>
          </w:p>
        </w:tc>
      </w:tr>
      <w:tr>
        <w:tc>
          <w:tcPr>
            <w:tcW w:type="dxa" w:w="27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International transfers</w:t>
            </w:r>
          </w:p>
        </w:tc>
        <w:tc>
          <w:tcPr>
            <w:tcW w:type="dxa" w:w="20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w:t>
            </w:r>
          </w:p>
        </w:tc>
        <w:tc>
          <w:tcPr>
            <w:tcW w:type="dxa" w:w="46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None. UK region enforced across all connections</w:t>
            </w:r>
          </w:p>
        </w:tc>
      </w:tr>
    </w:tbl>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6.  Retention</w:t>
      </w:r>
    </w:p>
    <w:p>
      <w:pPr>
        <w:spacing w:after="160" w:line="276"/>
      </w:pPr>
      <w:r>
        <w:rPr>
          <w:rFonts w:ascii="Inter" w:cs="Inter" w:eastAsia="Inter" w:hAnsi="Inter"/>
          <w:color w:val="1A1A1A"/>
          <w:sz w:val="21"/>
          <w:szCs w:val="21"/>
        </w:rPr>
        <w:t xml:space="preserve">Personal data is kept only as long as Revitalise's published schedule allows, then deleted or irreversibly anonymised. Retention runs automatically by status and trigger date — no record depends on someone remembering to delete it.</w:t>
      </w:r>
    </w:p>
    <w:tbl>
      <w:tblPr>
        <w:tblW w:type="dxa" w:w="9360"/>
        <w:tblBorders>
          <w:top w:val="single" w:color="D9DDE3" w:sz="4"/>
          <w:left w:val="single" w:color="D9DDE3" w:sz="4"/>
          <w:bottom w:val="single" w:color="D9DDE3" w:sz="4"/>
          <w:right w:val="single" w:color="D9DDE3" w:sz="4"/>
          <w:insideH w:val="single" w:color="D9DDE3" w:sz="4"/>
          <w:insideV w:val="single" w:color="D9DDE3" w:sz="4"/>
        </w:tblBorders>
      </w:tblPr>
      <w:tblGrid>
        <w:gridCol w:w="3300"/>
        <w:gridCol w:w="2560"/>
        <w:gridCol w:w="1700"/>
        <w:gridCol w:w="1800"/>
      </w:tblGrid>
      <w:tr>
        <w:trPr>
          <w:tblHeader/>
        </w:trPr>
        <w:tc>
          <w:tcPr>
            <w:tcW w:type="dxa" w:w="33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Data / outcome</w:t>
            </w:r>
          </w:p>
        </w:tc>
        <w:tc>
          <w:tcPr>
            <w:tcW w:type="dxa" w:w="256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Trigger</w:t>
            </w:r>
          </w:p>
        </w:tc>
        <w:tc>
          <w:tcPr>
            <w:tcW w:type="dxa" w:w="17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Retention</w:t>
            </w:r>
          </w:p>
        </w:tc>
        <w:tc>
          <w:tcPr>
            <w:tcW w:type="dxa" w:w="18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Then</w:t>
            </w:r>
          </w:p>
        </w:tc>
      </w:tr>
      <w:tr>
        <w:tc>
          <w:tcPr>
            <w:tcW w:type="dxa" w:w="33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Successful grant — full record incl. health free-text</w:t>
            </w:r>
          </w:p>
        </w:tc>
        <w:tc>
          <w:tcPr>
            <w:tcW w:type="dxa" w:w="25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Grant Paid, from final payment date</w:t>
            </w:r>
          </w:p>
        </w:tc>
        <w:tc>
          <w:tcPr>
            <w:tcW w:type="dxa" w:w="1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6 years</w:t>
            </w:r>
          </w:p>
        </w:tc>
        <w:tc>
          <w:tcPr>
            <w:tcW w:type="dxa" w:w="18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Delete full record</w:t>
            </w:r>
          </w:p>
        </w:tc>
      </w:tr>
      <w:tr>
        <w:tc>
          <w:tcPr>
            <w:tcW w:type="dxa" w:w="33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Unsuccessful application</w:t>
            </w:r>
          </w:p>
        </w:tc>
        <w:tc>
          <w:tcPr>
            <w:tcW w:type="dxa" w:w="25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Rejected, from decision date</w:t>
            </w:r>
          </w:p>
        </w:tc>
        <w:tc>
          <w:tcPr>
            <w:tcW w:type="dxa" w:w="17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12 months</w:t>
            </w:r>
          </w:p>
        </w:tc>
        <w:tc>
          <w:tcPr>
            <w:tcW w:type="dxa" w:w="18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Delete full record</w:t>
            </w:r>
          </w:p>
        </w:tc>
      </w:tr>
      <w:tr>
        <w:tc>
          <w:tcPr>
            <w:tcW w:type="dxa" w:w="33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Withdrawn / incomplete</w:t>
            </w:r>
          </w:p>
        </w:tc>
        <w:tc>
          <w:tcPr>
            <w:tcW w:type="dxa" w:w="25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Withdrawn / Incomplete, from last contact</w:t>
            </w:r>
          </w:p>
        </w:tc>
        <w:tc>
          <w:tcPr>
            <w:tcW w:type="dxa" w:w="1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6 months</w:t>
            </w:r>
          </w:p>
        </w:tc>
        <w:tc>
          <w:tcPr>
            <w:tcW w:type="dxa" w:w="18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Delete full record</w:t>
            </w:r>
          </w:p>
        </w:tc>
      </w:tr>
      <w:tr>
        <w:tc>
          <w:tcPr>
            <w:tcW w:type="dxa" w:w="33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Monitoring &amp; evaluation (pseudonymised)</w:t>
            </w:r>
          </w:p>
        </w:tc>
        <w:tc>
          <w:tcPr>
            <w:tcW w:type="dxa" w:w="25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Follows parent grant record</w:t>
            </w:r>
          </w:p>
        </w:tc>
        <w:tc>
          <w:tcPr>
            <w:tcW w:type="dxa" w:w="17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Same as record</w:t>
            </w:r>
          </w:p>
        </w:tc>
        <w:tc>
          <w:tcPr>
            <w:tcW w:type="dxa" w:w="18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Delete with record</w:t>
            </w:r>
          </w:p>
        </w:tc>
      </w:tr>
      <w:tr>
        <w:tc>
          <w:tcPr>
            <w:tcW w:type="dxa" w:w="33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Signed acceptance PDF</w:t>
            </w:r>
          </w:p>
        </w:tc>
        <w:tc>
          <w:tcPr>
            <w:tcW w:type="dxa" w:w="25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Attached to grant record</w:t>
            </w:r>
          </w:p>
        </w:tc>
        <w:tc>
          <w:tcPr>
            <w:tcW w:type="dxa" w:w="1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6 years (with record)</w:t>
            </w:r>
          </w:p>
        </w:tc>
        <w:tc>
          <w:tcPr>
            <w:tcW w:type="dxa" w:w="18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Delete with record</w:t>
            </w:r>
          </w:p>
        </w:tc>
      </w:tr>
      <w:tr>
        <w:tc>
          <w:tcPr>
            <w:tcW w:type="dxa" w:w="33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Financial record (QuickBooks)</w:t>
            </w:r>
          </w:p>
        </w:tc>
        <w:tc>
          <w:tcPr>
            <w:tcW w:type="dxa" w:w="25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Grant Paid</w:t>
            </w:r>
          </w:p>
        </w:tc>
        <w:tc>
          <w:tcPr>
            <w:tcW w:type="dxa" w:w="17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6 years</w:t>
            </w:r>
          </w:p>
        </w:tc>
        <w:tc>
          <w:tcPr>
            <w:tcW w:type="dxa" w:w="18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Per finance policy</w:t>
            </w:r>
          </w:p>
        </w:tc>
      </w:tr>
      <w:tr>
        <w:tc>
          <w:tcPr>
            <w:tcW w:type="dxa" w:w="33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Anonymised statistics</w:t>
            </w:r>
          </w:p>
        </w:tc>
        <w:tc>
          <w:tcPr>
            <w:tcW w:type="dxa" w:w="25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No identifiers; not linkable</w:t>
            </w:r>
          </w:p>
        </w:tc>
        <w:tc>
          <w:tcPr>
            <w:tcW w:type="dxa" w:w="1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Indefinite</w:t>
            </w:r>
          </w:p>
        </w:tc>
        <w:tc>
          <w:tcPr>
            <w:tcW w:type="dxa" w:w="18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Retain</w:t>
            </w:r>
          </w:p>
        </w:tc>
      </w:tr>
    </w:tbl>
    <w:p>
      <w:pPr>
        <w:spacing w:after="160" w:line="276"/>
      </w:pPr>
      <w:r>
        <w:rPr>
          <w:rFonts w:ascii="Inter" w:cs="Inter" w:eastAsia="Inter" w:hAnsi="Inter"/>
          <w:color w:val="1A1A1A"/>
          <w:sz w:val="21"/>
          <w:szCs w:val="21"/>
        </w:rPr>
        <w:t xml:space="preserve">The 6-year period on granted records follows the Charities Act 2011 financial-record duty, as stated in the Privacy Notice. </w:t>
      </w:r>
      <w:r>
        <w:rPr>
          <w:rFonts w:ascii="Inter" w:cs="Inter" w:eastAsia="Inter" w:hAnsi="Inter"/>
          <w:b/>
          <w:bCs/>
          <w:color w:val="9A6A18"/>
          <w:sz w:val="21"/>
          <w:szCs w:val="21"/>
        </w:rPr>
        <w:t xml:space="preserve">[DPO decision open — the health free-text can be redacted earlier if tighter minimisation is preferred; a configuration change, not a rebuild.]</w:t>
      </w:r>
    </w:p>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7.  Security measures (Article 32)</w:t>
      </w:r>
    </w:p>
    <w:p>
      <w:pPr>
        <w:spacing w:after="160" w:line="276"/>
      </w:pPr>
      <w:r>
        <w:rPr>
          <w:rFonts w:ascii="Inter" w:cs="Inter" w:eastAsia="Inter" w:hAnsi="Inter"/>
          <w:color w:val="1A1A1A"/>
          <w:sz w:val="21"/>
          <w:szCs w:val="21"/>
        </w:rPr>
        <w:t xml:space="preserve">The technical and organisational measures are set in the Security Model and enforced natively where possible:</w:t>
      </w:r>
    </w:p>
    <w:p>
      <w:pPr>
        <w:pStyle w:val="ListParagraph"/>
        <w:numPr>
          <w:ilvl w:val="0"/>
          <w:numId w:val="2"/>
        </w:numPr>
        <w:spacing w:after="80" w:line="270"/>
      </w:pPr>
      <w:r>
        <w:rPr>
          <w:rFonts w:ascii="Inter" w:cs="Inter" w:eastAsia="Inter" w:hAnsi="Inter"/>
          <w:color w:val="1A1A1A"/>
          <w:sz w:val="21"/>
          <w:szCs w:val="21"/>
        </w:rPr>
        <w:t xml:space="preserve">Least-privilege access — three roles carry all access; special-category and identity fields readable only by the roles that need them.</w:t>
      </w:r>
    </w:p>
    <w:p>
      <w:pPr>
        <w:pStyle w:val="ListParagraph"/>
        <w:numPr>
          <w:ilvl w:val="0"/>
          <w:numId w:val="2"/>
        </w:numPr>
        <w:spacing w:after="80" w:line="270"/>
      </w:pPr>
      <w:r>
        <w:rPr>
          <w:rFonts w:ascii="Inter" w:cs="Inter" w:eastAsia="Inter" w:hAnsi="Inter"/>
          <w:color w:val="1A1A1A"/>
          <w:sz w:val="21"/>
          <w:szCs w:val="21"/>
        </w:rPr>
        <w:t xml:space="preserve">Field-level (column) security — identifying columns hidden from the trustee role before they reach the app; free-text AI-redacted for trustee review.</w:t>
      </w:r>
    </w:p>
    <w:p>
      <w:pPr>
        <w:pStyle w:val="ListParagraph"/>
        <w:numPr>
          <w:ilvl w:val="0"/>
          <w:numId w:val="2"/>
        </w:numPr>
        <w:spacing w:after="80" w:line="270"/>
      </w:pPr>
      <w:r>
        <w:rPr>
          <w:rFonts w:ascii="Inter" w:cs="Inter" w:eastAsia="Inter" w:hAnsi="Inter"/>
          <w:color w:val="1A1A1A"/>
          <w:sz w:val="21"/>
          <w:szCs w:val="21"/>
        </w:rPr>
        <w:t xml:space="preserve">Separation of duties — bank and payment data sit behind the finance role alone; even the admin role has no access.</w:t>
      </w:r>
    </w:p>
    <w:p>
      <w:pPr>
        <w:pStyle w:val="ListParagraph"/>
        <w:numPr>
          <w:ilvl w:val="0"/>
          <w:numId w:val="2"/>
        </w:numPr>
        <w:spacing w:after="80" w:line="270"/>
      </w:pPr>
      <w:r>
        <w:rPr>
          <w:rFonts w:ascii="Inter" w:cs="Inter" w:eastAsia="Inter" w:hAnsi="Inter"/>
          <w:color w:val="1A1A1A"/>
          <w:sz w:val="21"/>
          <w:szCs w:val="21"/>
        </w:rPr>
        <w:t xml:space="preserve">Identity and authentication — MFA for staff, trustees and the service account; each environment gated by an Entra ID security group; a scoped Conditional Access exception for the service account.</w:t>
      </w:r>
    </w:p>
    <w:p>
      <w:pPr>
        <w:pStyle w:val="ListParagraph"/>
        <w:numPr>
          <w:ilvl w:val="0"/>
          <w:numId w:val="2"/>
        </w:numPr>
        <w:spacing w:after="80" w:line="270"/>
      </w:pPr>
      <w:r>
        <w:rPr>
          <w:rFonts w:ascii="Inter" w:cs="Inter" w:eastAsia="Inter" w:hAnsi="Inter"/>
          <w:color w:val="1A1A1A"/>
          <w:sz w:val="21"/>
          <w:szCs w:val="21"/>
        </w:rPr>
        <w:t xml:space="preserve">UK data residency — enforced across Power Platform, Dataverse, AI Builder, DocuSign and QuickBooks; verified at environment setup.</w:t>
      </w:r>
    </w:p>
    <w:p>
      <w:pPr>
        <w:pStyle w:val="ListParagraph"/>
        <w:numPr>
          <w:ilvl w:val="0"/>
          <w:numId w:val="2"/>
        </w:numPr>
        <w:spacing w:after="80" w:line="270"/>
      </w:pPr>
      <w:r>
        <w:rPr>
          <w:rFonts w:ascii="Inter" w:cs="Inter" w:eastAsia="Inter" w:hAnsi="Inter"/>
          <w:color w:val="1A1A1A"/>
          <w:sz w:val="21"/>
          <w:szCs w:val="21"/>
        </w:rPr>
        <w:t xml:space="preserve">Data loss prevention — a connector policy on both environments blocks unapproved services.</w:t>
      </w:r>
    </w:p>
    <w:p>
      <w:pPr>
        <w:pStyle w:val="ListParagraph"/>
        <w:numPr>
          <w:ilvl w:val="0"/>
          <w:numId w:val="2"/>
        </w:numPr>
        <w:spacing w:after="80" w:line="270"/>
      </w:pPr>
      <w:r>
        <w:rPr>
          <w:rFonts w:ascii="Inter" w:cs="Inter" w:eastAsia="Inter" w:hAnsi="Inter"/>
          <w:color w:val="1A1A1A"/>
          <w:sz w:val="21"/>
          <w:szCs w:val="21"/>
        </w:rPr>
        <w:t xml:space="preserve">Auditing — native Dataverse field-change auditing records every create, update and delete; app-access logging records who opened the trustee app.</w:t>
      </w:r>
    </w:p>
    <w:p>
      <w:pPr>
        <w:pStyle w:val="ListParagraph"/>
        <w:numPr>
          <w:ilvl w:val="0"/>
          <w:numId w:val="2"/>
        </w:numPr>
        <w:spacing w:after="80" w:line="270"/>
      </w:pPr>
      <w:r>
        <w:rPr>
          <w:rFonts w:ascii="Inter" w:cs="Inter" w:eastAsia="Inter" w:hAnsi="Inter"/>
          <w:color w:val="1A1A1A"/>
          <w:sz w:val="21"/>
          <w:szCs w:val="21"/>
        </w:rPr>
        <w:t xml:space="preserve">Automated retention and deletion — a scheduled bulk-delete job with cascade removes records at end of life; a helper flow reaches DocuSign, QuickBooks and the PDF library.</w:t>
      </w:r>
    </w:p>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8.  Processor record (Article 30(2))</w:t>
      </w:r>
    </w:p>
    <w:p>
      <w:pPr>
        <w:spacing w:after="160" w:line="276"/>
      </w:pPr>
      <w:r>
        <w:rPr>
          <w:rFonts w:ascii="Inter" w:cs="Inter" w:eastAsia="Inter" w:hAnsi="Inter"/>
          <w:color w:val="1A1A1A"/>
          <w:sz w:val="21"/>
          <w:szCs w:val="21"/>
        </w:rPr>
        <w:t xml:space="preserve">Argelis Consultancy maintains this record of the processing it carries out on Revitalise's behalf, as required of a processor under Article 30(2).</w:t>
      </w:r>
    </w:p>
    <w:tbl>
      <w:tblPr>
        <w:tblW w:type="dxa" w:w="9360"/>
        <w:tblBorders>
          <w:top w:val="single" w:color="D9DDE3" w:sz="4"/>
          <w:left w:val="single" w:color="D9DDE3" w:sz="4"/>
          <w:bottom w:val="single" w:color="D9DDE3" w:sz="4"/>
          <w:right w:val="single" w:color="D9DDE3" w:sz="4"/>
          <w:insideH w:val="single" w:color="D9DDE3" w:sz="4"/>
          <w:insideV w:val="single" w:color="D9DDE3" w:sz="4"/>
        </w:tblBorders>
      </w:tblPr>
      <w:tblGrid>
        <w:gridCol w:w="2900"/>
        <w:gridCol w:w="6460"/>
      </w:tblGrid>
      <w:tr>
        <w:trPr>
          <w:tblHeader/>
        </w:trPr>
        <w:tc>
          <w:tcPr>
            <w:tcW w:type="dxa" w:w="29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Article 30(2) field</w:t>
            </w:r>
          </w:p>
        </w:tc>
        <w:tc>
          <w:tcPr>
            <w:tcW w:type="dxa" w:w="646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Entry</w:t>
            </w:r>
          </w:p>
        </w:tc>
      </w:tr>
      <w:tr>
        <w:tc>
          <w:tcPr>
            <w:tcW w:type="dxa" w:w="29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Processor</w:t>
            </w:r>
          </w:p>
        </w:tc>
        <w:tc>
          <w:tcPr>
            <w:tcW w:type="dxa" w:w="64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Argelis Consultancy — Xander Lykopoulos</w:t>
            </w:r>
          </w:p>
        </w:tc>
      </w:tr>
      <w:tr>
        <w:tc>
          <w:tcPr>
            <w:tcW w:type="dxa" w:w="29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Controller acted for</w:t>
            </w:r>
          </w:p>
        </w:tc>
        <w:tc>
          <w:tcPr>
            <w:tcW w:type="dxa" w:w="64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Revitalise</w:t>
            </w:r>
          </w:p>
        </w:tc>
      </w:tr>
      <w:tr>
        <w:tc>
          <w:tcPr>
            <w:tcW w:type="dxa" w:w="29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Categories of processing</w:t>
            </w:r>
          </w:p>
        </w:tc>
        <w:tc>
          <w:tcPr>
            <w:tcW w:type="dxa" w:w="64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Building and configuring the Dataverse solution; configuring scoring, retention, deletion, security and DLP; documenting the setup. No use of the data beyond delivering and supporting the solution on instruction.</w:t>
            </w:r>
          </w:p>
        </w:tc>
      </w:tr>
      <w:tr>
        <w:tc>
          <w:tcPr>
            <w:tcW w:type="dxa" w:w="29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Sub-processors</w:t>
            </w:r>
          </w:p>
        </w:tc>
        <w:tc>
          <w:tcPr>
            <w:tcW w:type="dxa" w:w="64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AI Builder (redaction), DocuSign (signing), QuickBooks Online (finance record) — all within the UK</w:t>
            </w:r>
          </w:p>
        </w:tc>
      </w:tr>
      <w:tr>
        <w:tc>
          <w:tcPr>
            <w:tcW w:type="dxa" w:w="29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International transfers</w:t>
            </w:r>
          </w:p>
        </w:tc>
        <w:tc>
          <w:tcPr>
            <w:tcW w:type="dxa" w:w="64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None</w:t>
            </w:r>
          </w:p>
        </w:tc>
      </w:tr>
      <w:tr>
        <w:tc>
          <w:tcPr>
            <w:tcW w:type="dxa" w:w="29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Security measures</w:t>
            </w:r>
          </w:p>
        </w:tc>
        <w:tc>
          <w:tcPr>
            <w:tcW w:type="dxa" w:w="64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As Section 7 — the measures Argelis configures on the controller's instruction</w:t>
            </w:r>
          </w:p>
        </w:tc>
      </w:tr>
    </w:tbl>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9.  Maintenance and open items</w:t>
      </w:r>
    </w:p>
    <w:p>
      <w:pPr>
        <w:spacing w:after="160" w:line="276"/>
      </w:pPr>
      <w:r>
        <w:rPr>
          <w:rFonts w:ascii="Inter" w:cs="Inter" w:eastAsia="Inter" w:hAnsi="Inter"/>
          <w:color w:val="1A1A1A"/>
          <w:sz w:val="21"/>
          <w:szCs w:val="21"/>
        </w:rPr>
        <w:t xml:space="preserve">This record is reviewed at least annually and whenever the Privacy Notice, the retention schedule, the connector set or the roles change. Before it is finalised, Revitalise confirms:</w:t>
      </w:r>
    </w:p>
    <w:p>
      <w:pPr>
        <w:pStyle w:val="ListParagraph"/>
        <w:numPr>
          <w:ilvl w:val="0"/>
          <w:numId w:val="2"/>
        </w:numPr>
        <w:spacing w:after="80" w:line="270"/>
      </w:pPr>
      <w:r>
        <w:rPr>
          <w:rFonts w:ascii="Inter" w:cs="Inter" w:eastAsia="Inter" w:hAnsi="Inter"/>
          <w:color w:val="1A1A1A"/>
          <w:sz w:val="21"/>
          <w:szCs w:val="21"/>
        </w:rPr>
        <w:t xml:space="preserve">The three DPO decisions — field-level security as the trustee control, the automated-decision position under the DUAA 2025, and 6-year retention of the health free-text.</w:t>
      </w:r>
    </w:p>
    <w:p>
      <w:pPr>
        <w:pStyle w:val="ListParagraph"/>
        <w:numPr>
          <w:ilvl w:val="0"/>
          <w:numId w:val="2"/>
        </w:numPr>
        <w:spacing w:after="80" w:line="270"/>
      </w:pPr>
      <w:r>
        <w:rPr>
          <w:rFonts w:ascii="Inter" w:cs="Inter" w:eastAsia="Inter" w:hAnsi="Inter"/>
          <w:color w:val="1A1A1A"/>
          <w:sz w:val="21"/>
          <w:szCs w:val="21"/>
        </w:rPr>
        <w:t xml:space="preserve">The published DPO contact details.</w:t>
      </w:r>
    </w:p>
    <w:p>
      <w:pPr>
        <w:pStyle w:val="ListParagraph"/>
        <w:numPr>
          <w:ilvl w:val="0"/>
          <w:numId w:val="2"/>
        </w:numPr>
        <w:spacing w:after="80" w:line="270"/>
      </w:pPr>
      <w:r>
        <w:rPr>
          <w:rFonts w:ascii="Inter" w:cs="Inter" w:eastAsia="Inter" w:hAnsi="Inter"/>
          <w:color w:val="1A1A1A"/>
          <w:sz w:val="21"/>
          <w:szCs w:val="21"/>
        </w:rPr>
        <w:t xml:space="preserve">That the content is transferred into Revitalise's own RoPA template if the charity keeps a central register.</w:t>
      </w:r>
    </w:p>
    <w:p>
      <w:pPr>
        <w:spacing w:before="320"/>
      </w:pPr>
      <w:r>
        <w:rPr>
          <w:rFonts w:ascii="Montserrat" w:cs="Montserrat" w:eastAsia="Montserrat" w:hAnsi="Montserrat"/>
          <w:i/>
          <w:iCs/>
          <w:color w:val="8A9099"/>
          <w:sz w:val="16"/>
          <w:szCs w:val="16"/>
        </w:rPr>
        <w:t xml:space="preserve">Prepared by Xander Lykopoulos · Argelis Consultancy · Architectuur tussen ambitie en 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3" w:sz="4" w:space="6"/>
      </w:pBdr>
      <w:tabs>
        <w:tab w:val="right" w:pos="9360"/>
      </w:tabs>
    </w:pPr>
    <w:r>
      <w:rPr>
        <w:rFonts w:ascii="Montserrat" w:cs="Montserrat" w:eastAsia="Montserrat" w:hAnsi="Montserrat"/>
        <w:b/>
        <w:bCs/>
        <w:color w:val="05132A"/>
        <w:sz w:val="15"/>
        <w:szCs w:val="15"/>
      </w:rPr>
      <w:t xml:space="preserve">Argelis Consultancy</w:t>
    </w:r>
    <w:r>
      <w:rPr>
        <w:rFonts w:ascii="Inter" w:cs="Inter" w:eastAsia="Inter" w:hAnsi="Inter"/>
        <w:color w:val="8A9099"/>
        <w:sz w:val="15"/>
        <w:szCs w:val="15"/>
      </w:rPr>
      <w:t xml:space="preserve">	RoPA — Revitalise Grant Automation · v0.1 Concept · Confidential  ·  Page </w:t>
    </w:r>
    <w:r>
      <w:rPr>
        <w:rFonts w:ascii="Inter" w:cs="Inter" w:eastAsia="Inter" w:hAnsi="Inter"/>
        <w:color w:val="8A90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rFonts w:ascii="Montserrat" w:cs="Montserrat" w:eastAsia="Montserrat" w:hAnsi="Montserrat"/>
        <w:color w:val="C99A5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FD6B84F7029419816FFCF5AF812DE" ma:contentTypeVersion="9" ma:contentTypeDescription="Create a new document." ma:contentTypeScope="" ma:versionID="ae75f7d6110eb3c01e30b5864ecce8d9">
  <xsd:schema xmlns:xsd="http://www.w3.org/2001/XMLSchema" xmlns:xs="http://www.w3.org/2001/XMLSchema" xmlns:p="http://schemas.microsoft.com/office/2006/metadata/properties" xmlns:ns2="f28f5036-0c97-4fb2-9995-e6511ad4535b" xmlns:ns3="d3a2e4d4-5189-48ac-a210-e1294fbd99f3" targetNamespace="http://schemas.microsoft.com/office/2006/metadata/properties" ma:root="true" ma:fieldsID="5f758225586994ab2ed7147b7dc97d7e" ns2:_="" ns3:_="">
    <xsd:import namespace="f28f5036-0c97-4fb2-9995-e6511ad4535b"/>
    <xsd:import namespace="d3a2e4d4-5189-48ac-a210-e1294fbd99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f5036-0c97-4fb2-9995-e6511ad453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edfda32-ed56-4dd9-bd64-14fdcb8b12d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3a2e4d4-5189-48ac-a210-e1294fbd99f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09b44fd-1af0-4c99-971b-3abc3e199a55}" ma:internalName="TaxCatchAll" ma:showField="CatchAllData" ma:web="d3a2e4d4-5189-48ac-a210-e1294fbd99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8f5036-0c97-4fb2-9995-e6511ad4535b">
      <Terms xmlns="http://schemas.microsoft.com/office/infopath/2007/PartnerControls"/>
    </lcf76f155ced4ddcb4097134ff3c332f>
    <TaxCatchAll xmlns="d3a2e4d4-5189-48ac-a210-e1294fbd99f3" xsi:nil="true"/>
  </documentManagement>
</p:properties>
</file>

<file path=customXml/itemProps1.xml><?xml version="1.0" encoding="utf-8"?>
<ds:datastoreItem xmlns:ds="http://schemas.openxmlformats.org/officeDocument/2006/customXml" ds:itemID="{53343721-2DA3-4114-B3B3-B977F200C928}"/>
</file>

<file path=customXml/itemProps2.xml><?xml version="1.0" encoding="utf-8"?>
<ds:datastoreItem xmlns:ds="http://schemas.openxmlformats.org/officeDocument/2006/customXml" ds:itemID="{E77A39D4-1AB1-43AF-921C-DEADA667C087}"/>
</file>

<file path=customXml/itemProps3.xml><?xml version="1.0" encoding="utf-8"?>
<ds:datastoreItem xmlns:ds="http://schemas.openxmlformats.org/officeDocument/2006/customXml" ds:itemID="{534037E2-44F4-4456-AEE1-12C8DC5B5AC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RoPA — Revitalise Grant Automation · v0.1 Concept · Confidential</dc:title>
  <dc:creator>Argelis Consultancy</dc:creator>
  <cp:lastModifiedBy>Un-named</cp:lastModifiedBy>
  <cp:revision>1</cp:revision>
  <dcterms:created xsi:type="dcterms:W3CDTF">2026-07-17T09:15:28Z</dcterms:created>
  <dcterms:modified xsi:type="dcterms:W3CDTF">2026-07-17T09:15:28Z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0x01010019BFD6B84F7029419816FFCF5AF812DE</vt:lpwstr>
  </property>
</Properties>
</file>