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240"/>
      </w:pPr>
      <w:r>
        <w:drawing>
          <wp:inline distT="0" distB="0" distL="0" distR="0">
            <wp:extent cx="18669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514350"/>
                    </a:xfrm>
                    <a:prstGeom prst="rect">
                      <a:avLst/>
                    </a:prstGeom>
                  </pic:spPr>
                </pic:pic>
              </a:graphicData>
            </a:graphic>
          </wp:inline>
        </w:drawing>
      </w:r>
    </w:p>
    <w:p>
      <w:pPr>
        <w:spacing w:after="120"/>
      </w:pPr>
      <w:r>
        <w:rPr>
          <w:rFonts w:ascii="Montserrat" w:cs="Montserrat" w:eastAsia="Montserrat" w:hAnsi="Montserrat"/>
          <w:b/>
          <w:bCs/>
          <w:i w:val="false"/>
          <w:iCs w:val="false"/>
          <w:caps/>
          <w:color w:val="C99A52"/>
          <w:spacing w:val="40"/>
          <w:sz w:val="20"/>
          <w:szCs w:val="20"/>
        </w:rPr>
        <w:t xml:space="preserve">SECURITY MODEL</w:t>
      </w:r>
    </w:p>
    <w:p>
      <w:pPr>
        <w:spacing w:after="60"/>
      </w:pPr>
      <w:r>
        <w:rPr>
          <w:rFonts w:ascii="Montserrat" w:cs="Montserrat" w:eastAsia="Montserrat" w:hAnsi="Montserrat"/>
          <w:b/>
          <w:bCs/>
          <w:i w:val="false"/>
          <w:iCs w:val="false"/>
          <w:caps w:val="false"/>
          <w:color w:val="05132A"/>
          <w:sz w:val="52"/>
          <w:szCs w:val="52"/>
        </w:rPr>
        <w:t xml:space="preserve">Security Model</w:t>
      </w:r>
    </w:p>
    <w:p>
      <w:pPr>
        <w:spacing w:after="200"/>
      </w:pPr>
      <w:r>
        <w:rPr>
          <w:rFonts w:ascii="Montserrat" w:cs="Montserrat" w:eastAsia="Montserrat" w:hAnsi="Montserrat"/>
          <w:b/>
          <w:bCs/>
          <w:i w:val="false"/>
          <w:iCs w:val="false"/>
          <w:caps w:val="false"/>
          <w:color w:val="05132A"/>
          <w:sz w:val="52"/>
          <w:szCs w:val="52"/>
        </w:rPr>
        <w:t xml:space="preserve">Grant Application Automation</w:t>
      </w:r>
    </w:p>
    <w:p>
      <w:pPr>
        <w:pBdr>
          <w:bottom w:val="single" w:color="C99A52" w:sz="12" w:space="8"/>
        </w:pBdr>
        <w:spacing w:after="460" w:line="300"/>
      </w:pPr>
      <w:r>
        <w:rPr>
          <w:rFonts w:ascii="Inter" w:cs="Inter" w:eastAsia="Inter" w:hAnsi="Inter"/>
          <w:b w:val="false"/>
          <w:bCs w:val="false"/>
          <w:i/>
          <w:iCs/>
          <w:caps w:val="false"/>
          <w:color w:val="8A9099"/>
          <w:sz w:val="23"/>
          <w:szCs w:val="23"/>
        </w:rPr>
        <w:t xml:space="preserve">Roles, permissions and field-level security for the Dataverse grant solution.</w:t>
      </w:r>
    </w:p>
    <w:tbl>
      <w:tblPr>
        <w:tblW w:type="dxa" w:w="9026"/>
        <w:tblBorders>
          <w:top w:val="none" w:color="FFFFFF" w:sz="0"/>
          <w:left w:val="none" w:color="FFFFFF" w:sz="0"/>
          <w:bottom w:val="none" w:color="FFFFFF" w:sz="0"/>
          <w:right w:val="none" w:color="FFFFFF" w:sz="0"/>
          <w:insideH w:val="single" w:color="D9DDE3" w:sz="3"/>
          <w:insideV w:val="none" w:color="FFFFFF" w:sz="0"/>
        </w:tblBorders>
      </w:tblPr>
      <w:tblGrid>
        <w:gridCol w:w="2600"/>
        <w:gridCol w:w="6426"/>
      </w:tblGrid>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CLIENT</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Revitalise</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PREPARED BY</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Xander Lykopoulos — Argelis Consultancy</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DELIVERABLE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Security model document (WBS 0.5)</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VERSION</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v0.1 — Draft</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DATE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15 July 2026</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STATUS</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Draft</w:t>
            </w:r>
          </w:p>
        </w:tc>
      </w:tr>
    </w:tbl>
    <w:p>
      <w:pPr>
        <w:spacing w:after="200"/>
      </w:pPr>
    </w:p>
    <w:p>
      <w:pPr>
        <w:spacing w:after="0" w:line="264"/>
      </w:pPr>
      <w:r>
        <w:rPr>
          <w:rFonts w:ascii="Inter" w:cs="Inter" w:eastAsia="Inter" w:hAnsi="Inter"/>
          <w:b w:val="false"/>
          <w:bCs w:val="false"/>
          <w:i w:val="false"/>
          <w:iCs w:val="false"/>
          <w:caps w:val="false"/>
          <w:color w:val="8A9099"/>
          <w:sz w:val="17"/>
          <w:szCs w:val="17"/>
        </w:rPr>
        <w:t xml:space="preserve">v0.1 (15 Jul 2026): first draft of the WBS 0.5 security model on the agreed Dataverse data model; the trustee field-level security control is gated on DPO sign-off. Rev 15 Jul 2026: added the operational Error Log table (non-personal) to the data classification and access matrix, and the REV | Ops | Failure Alert monitoring flow to section 8.</w:t>
      </w:r>
    </w:p>
    <w:p>
      <w:r>
        <w:br w:type="page"/>
      </w:r>
    </w:p>
    <w:p>
      <w:pPr>
        <w:spacing w:after="160"/>
      </w:pPr>
      <w:r>
        <w:rPr>
          <w:rFonts w:ascii="Montserrat" w:cs="Montserrat" w:eastAsia="Montserrat" w:hAnsi="Montserrat"/>
          <w:b/>
          <w:bCs/>
          <w:i w:val="false"/>
          <w:iCs w:val="false"/>
          <w:caps w:val="false"/>
          <w:color w:val="0513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1. Purpose and scope</w:t>
      </w:r>
    </w:p>
    <w:p>
      <w:pPr>
        <w:spacing w:after="160" w:before="0" w:line="276"/>
        <w:jc w:val="left"/>
      </w:pPr>
      <w:r>
        <w:rPr>
          <w:rFonts w:ascii="Inter" w:cs="Inter" w:eastAsia="Inter" w:hAnsi="Inter"/>
          <w:b w:val="false"/>
          <w:bCs w:val="false"/>
          <w:i w:val="false"/>
          <w:iCs w:val="false"/>
          <w:caps w:val="false"/>
          <w:color w:val="05132A"/>
          <w:sz w:val="21"/>
          <w:szCs w:val="21"/>
        </w:rPr>
        <w:t xml:space="preserve">This is the security model for the Revitalise grant automation, the WBS 0.5 deliverable that the Solution Architecture (v0.4) named but left to be written. It sets who can do what across the Dataverse solution: the three security roles, the field-level (column) security profile that protects trustee access, how staff and trustees sign in, and how special-category health data and finance data are kept to the people who need them.</w:t>
      </w:r>
    </w:p>
    <w:p>
      <w:pPr>
        <w:spacing w:after="160" w:before="0" w:line="276"/>
        <w:jc w:val="left"/>
      </w:pPr>
      <w:r>
        <w:rPr>
          <w:rFonts w:ascii="Inter" w:cs="Inter" w:eastAsia="Inter" w:hAnsi="Inter"/>
          <w:b w:val="false"/>
          <w:bCs w:val="false"/>
          <w:i w:val="false"/>
          <w:iCs w:val="false"/>
          <w:caps w:val="false"/>
          <w:color w:val="05132A"/>
          <w:sz w:val="21"/>
          <w:szCs w:val="21"/>
        </w:rPr>
        <w:t xml:space="preserve">It builds on the agreed data model (Grant Application Data Model v0.2) and the architecture's component map (Solution Architecture v0.4 §5) and data-protection position (§8). It does not restate those documents. It turns them into a set of access rules a builder can configure in Dataverse and the DPO can sign off.</w:t>
      </w:r>
    </w:p>
    <w:tbl>
      <w:tblPr>
        <w:tblW w:type="dxa" w:w="9026"/>
        <w:tblBorders>
          <w:top w:val="none" w:color="FFFFFF" w:sz="0"/>
          <w:left w:val="single" w:color="C99A52" w:sz="24"/>
          <w:bottom w:val="none" w:color="FFFFFF" w:sz="0"/>
          <w:right w:val="none" w:color="FFFFFF" w:sz="0"/>
          <w:insideH w:val="none" w:color="FFFFFF" w:sz="0"/>
          <w:insideV w:val="none" w:color="FFFFFF" w:sz="0"/>
        </w:tblBorders>
      </w:tblPr>
      <w:tblGrid>
        <w:gridCol w:w="9026"/>
      </w:tblGrid>
      <w:tr>
        <w:tc>
          <w:tcPr>
            <w:tcW w:type="dxa" w:w="9026"/>
            <w:shd w:fill="F7F5F2" w:color="auto" w:val="clear"/>
            <w:tcMar>
              <w:top w:type="dxa" w:w="160"/>
              <w:left w:type="dxa" w:w="220"/>
              <w:bottom w:type="dxa" w:w="160"/>
              <w:right w:type="dxa" w:w="220"/>
            </w:tcMar>
          </w:tcPr>
          <w:p>
            <w:pPr>
              <w:spacing w:after="60" w:line="240"/>
            </w:pPr>
            <w:r>
              <w:rPr>
                <w:rFonts w:ascii="Montserrat" w:cs="Montserrat" w:eastAsia="Montserrat" w:hAnsi="Montserrat"/>
                <w:b/>
                <w:bCs/>
                <w:i w:val="false"/>
                <w:iCs w:val="false"/>
                <w:caps/>
                <w:color w:val="C99A52"/>
                <w:spacing w:val="20"/>
                <w:sz w:val="16"/>
                <w:szCs w:val="16"/>
              </w:rPr>
              <w:t xml:space="preserve">In plain terms</w:t>
            </w:r>
          </w:p>
          <w:p>
            <w:pPr>
              <w:spacing w:after="0" w:line="264"/>
            </w:pPr>
            <w:r>
              <w:rPr>
                <w:rFonts w:ascii="Inter" w:cs="Inter" w:eastAsia="Inter" w:hAnsi="Inter"/>
                <w:b w:val="false"/>
                <w:bCs w:val="false"/>
                <w:i w:val="false"/>
                <w:iCs w:val="false"/>
                <w:caps w:val="false"/>
                <w:color w:val="05132A"/>
                <w:sz w:val="21"/>
                <w:szCs w:val="21"/>
              </w:rPr>
              <w:t xml:space="preserve">Trustees never see an applicant's name. The Dataverse column-level security profile hides the identifying fields before they ever reach the trustee app, so a trustee sees a case by its reference number, age range and location area, never the person behind it. Only Emily and the service account can read the health free-text; everyone else, trustees included, sees the AI-redacted version or nothing at all.</w:t>
            </w:r>
          </w:p>
        </w:tc>
      </w:tr>
    </w:tbl>
    <w:p>
      <w:pPr>
        <w:pStyle w:val="Heading2"/>
        <w:spacing w:after="120" w:before="260"/>
      </w:pPr>
      <w:r>
        <w:rPr>
          <w:rFonts w:ascii="Montserrat" w:cs="Montserrat" w:eastAsia="Montserrat" w:hAnsi="Montserrat"/>
          <w:b/>
          <w:bCs/>
          <w:i w:val="false"/>
          <w:iCs w:val="false"/>
          <w:caps w:val="false"/>
          <w:color w:val="05132A"/>
          <w:sz w:val="24"/>
          <w:szCs w:val="24"/>
        </w:rPr>
        <w:t xml:space="preserve">In scope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The three Dataverse security roles (admin, finance, trustee) and what each may read and write.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The trustee field-level (column) security profile that hides identifying columns.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A consolidated access matrix across tables, apps, flows and both environments.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Identity, sign-in and Conditional Access for staff, trustees and the service account.</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How special-category data (health, ethnicity) and bank and payment data are protected.</w:t>
      </w:r>
    </w:p>
    <w:p>
      <w:pPr>
        <w:pStyle w:val="Heading2"/>
        <w:spacing w:after="120" w:before="260"/>
      </w:pPr>
      <w:r>
        <w:rPr>
          <w:rFonts w:ascii="Montserrat" w:cs="Montserrat" w:eastAsia="Montserrat" w:hAnsi="Montserrat"/>
          <w:b/>
          <w:bCs/>
          <w:i w:val="false"/>
          <w:iCs w:val="false"/>
          <w:caps w:val="false"/>
          <w:color w:val="05132A"/>
          <w:sz w:val="24"/>
          <w:szCs w:val="24"/>
        </w:rPr>
        <w:t xml:space="preserve">Out of scope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Retention and erasure rules, the DPIA and the RoPA — Data Governance Framework (WBS 0.7).</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Environment build and the DEV-to-PROD promotion process — ALM Runbook (WBS 0.6) and Solution Architecture v0.4 §7.</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Role handover and day-to-day operating procedure — Governance Runbook (WBS 0.8).</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2. Security principles</w:t>
      </w:r>
    </w:p>
    <w:p>
      <w:pPr>
        <w:spacing w:after="160" w:before="0" w:line="276"/>
        <w:jc w:val="left"/>
      </w:pPr>
      <w:r>
        <w:rPr>
          <w:rFonts w:ascii="Inter" w:cs="Inter" w:eastAsia="Inter" w:hAnsi="Inter"/>
          <w:b w:val="false"/>
          <w:bCs w:val="false"/>
          <w:i w:val="false"/>
          <w:iCs w:val="false"/>
          <w:caps w:val="false"/>
          <w:color w:val="05132A"/>
          <w:sz w:val="21"/>
          <w:szCs w:val="21"/>
        </w:rPr>
        <w:t xml:space="preserve">Five principles set the shape of everything below. Each access rule in this document traces back to one of them.</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Least privilege. </w:t>
      </w:r>
      <w:r>
        <w:rPr>
          <w:rFonts w:ascii="Inter" w:cs="Inter" w:eastAsia="Inter" w:hAnsi="Inter"/>
          <w:b w:val="false"/>
          <w:bCs w:val="false"/>
          <w:i w:val="false"/>
          <w:iCs w:val="false"/>
          <w:caps w:val="false"/>
          <w:color w:val="05132A"/>
          <w:sz w:val="21"/>
          <w:szCs w:val="21"/>
        </w:rPr>
        <w:t xml:space="preserve">Each role holds only the access its work needs. Trustees read a redacted case and record a verdict; finance touches only bank and payment data; the admin role carries the full set because Emily and the service account run the process.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Controller and processor. Revitalise is the data controller and decides the purpose. Argelis is the processor and builder, acting on Revitalise's instruction. This model is a processor's proposal for the controller to approve.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Scoring is automatic; people set the rules and keep the override. When an application is submitted, the scoring flow calculates the circumstance score from the applicant's wellbeing answers and applies the knockout threshold and income ceiling Emily holds in Settings, then sets the status: auto-pass, borderline or auto-reject. Emily does not re-score applications by hand; she reviews the borderline cases the flow flags and can adjust the threshold or override any outcome. The disability and health condition data and the free-text narrative do not feed the score, and trustees make the funding decision on eligible applications. Whether automatic rejection at the threshold meets Revitalise's automated-decision position under the Data (Use and Access) Act 2025 is a point for the DPO to confirm (section 9).</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UK data residency. The Power Platform environments, AI Builder, DocuSign and QuickBooks connections are configured to keep processing within the UK. Residency is verified at environment setup (WBS 0.2).</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Service identity, not personal logins. The production flows and external connections are owned and run by the service account svc-grantautomation, so access survives staff changes and is governed centrally rather than tied to one person's account.</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3. Data classification</w:t>
      </w:r>
    </w:p>
    <w:p>
      <w:pPr>
        <w:spacing w:after="160" w:before="0" w:line="276"/>
        <w:jc w:val="left"/>
      </w:pPr>
      <w:r>
        <w:rPr>
          <w:rFonts w:ascii="Inter" w:cs="Inter" w:eastAsia="Inter" w:hAnsi="Inter"/>
          <w:b w:val="false"/>
          <w:bCs w:val="false"/>
          <w:i w:val="false"/>
          <w:iCs w:val="false"/>
          <w:caps w:val="false"/>
          <w:color w:val="05132A"/>
          <w:sz w:val="21"/>
          <w:szCs w:val="21"/>
        </w:rPr>
        <w:t xml:space="preserve">The solution holds four tiers of data. The tier decides who may read a field and how long it is kept. The rules in the rest of this document apply the tiers to the roles.</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200"/>
        <w:gridCol w:w="3600"/>
        <w:gridCol w:w="3226"/>
      </w:tblGrid>
      <w:tr>
        <w:trPr>
          <w:tblHeader/>
        </w:trPr>
        <w:tc>
          <w:tcPr>
            <w:tcW w:type="dxa" w:w="22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Tier</w:t>
            </w:r>
          </w:p>
        </w:tc>
        <w:tc>
          <w:tcPr>
            <w:tcW w:type="dxa" w:w="3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Examples</w:t>
            </w:r>
          </w:p>
        </w:tc>
        <w:tc>
          <w:tcPr>
            <w:tcW w:type="dxa" w:w="32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Handling</w:t>
            </w:r>
          </w:p>
        </w:tc>
      </w:tr>
      <w:tr>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Special-category (health, ethnicity)</w:t>
            </w:r>
          </w:p>
        </w:tc>
        <w:tc>
          <w:tcPr>
            <w:tcW w:type="dxa" w:w="3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Applicant and support-recipient condition profiles, the "other condition" free-text, ethnic group</w:t>
            </w:r>
          </w:p>
        </w:tc>
        <w:tc>
          <w:tcPr>
            <w:tcW w:type="dxa" w:w="3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role and service account only. Free-text redacted by AI Builder before a trustee reads it. Held six years on granted records, pending DPO sign-off.</w:t>
            </w:r>
          </w:p>
        </w:tc>
      </w:tr>
      <w:tr>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Personal (PII)</w:t>
            </w:r>
          </w:p>
        </w:tc>
        <w:tc>
          <w:tcPr>
            <w:tcW w:type="dxa" w:w="3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Name, address, email, phone, date of birth (where captured), helper and support-recipient identity, applicant bank details</w:t>
            </w:r>
          </w:p>
        </w:tc>
        <w:tc>
          <w:tcPr>
            <w:tcW w:type="dxa" w:w="32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Hidden from trustees by field-level security. Bank details behind the finance role only.</w:t>
            </w:r>
          </w:p>
        </w:tc>
      </w:tr>
      <w:tr>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Pseudonymised</w:t>
            </w:r>
          </w:p>
        </w:tc>
        <w:tc>
          <w:tcPr>
            <w:tcW w:type="dxa" w:w="3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Pseudonymised ID (REV-A-00001), age range, location area, costs, scores, redacted narrative</w:t>
            </w:r>
          </w:p>
        </w:tc>
        <w:tc>
          <w:tcPr>
            <w:tcW w:type="dxa" w:w="3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Visible to trustees through the app. Still personal data; follows its parent record's retention clock.</w:t>
            </w:r>
          </w:p>
        </w:tc>
      </w:tr>
      <w:tr>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Anonymised</w:t>
            </w:r>
          </w:p>
        </w:tc>
        <w:tc>
          <w:tcPr>
            <w:tcW w:type="dxa" w:w="3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Anonymised Statistic snapshot: age range, location area, condition areas, outcome, amount</w:t>
            </w:r>
          </w:p>
        </w:tc>
        <w:tc>
          <w:tcPr>
            <w:tcW w:type="dxa" w:w="32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 identifiers and never linked back. Kept indefinitely for reporting.</w:t>
            </w:r>
          </w:p>
        </w:tc>
      </w:tr>
      <w:tr>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Operational (non-personal)</w:t>
            </w:r>
          </w:p>
        </w:tc>
        <w:tc>
          <w:tcPr>
            <w:tcW w:type="dxa" w:w="3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Flow error logs, run history — the Error Log table</w:t>
            </w:r>
          </w:p>
        </w:tc>
        <w:tc>
          <w:tcPr>
            <w:tcW w:type="dxa" w:w="32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 personal data. Holds run status, error messages and record references only. Not visible to trustees.</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4. Security roles</w:t>
      </w:r>
    </w:p>
    <w:p>
      <w:pPr>
        <w:spacing w:after="160" w:before="0" w:line="276"/>
        <w:jc w:val="left"/>
      </w:pPr>
      <w:r>
        <w:rPr>
          <w:rFonts w:ascii="Inter" w:cs="Inter" w:eastAsia="Inter" w:hAnsi="Inter"/>
          <w:b w:val="false"/>
          <w:bCs w:val="false"/>
          <w:i w:val="false"/>
          <w:iCs w:val="false"/>
          <w:caps w:val="false"/>
          <w:color w:val="05132A"/>
          <w:sz w:val="21"/>
          <w:szCs w:val="21"/>
        </w:rPr>
        <w:t xml:space="preserve">Three Dataverse security roles carry all access. There is no fourth role and no personal exception: a person's access is the role they hold.</w:t>
      </w:r>
    </w:p>
    <w:p>
      <w:pPr>
        <w:spacing w:after="160" w:before="0" w:line="276"/>
        <w:jc w:val="left"/>
      </w:pPr>
      <w:r>
        <w:rPr>
          <w:rFonts w:ascii="Inter" w:cs="Inter" w:eastAsia="Inter" w:hAnsi="Inter"/>
          <w:b/>
          <w:bCs/>
          <w:i w:val="false"/>
          <w:iCs w:val="false"/>
          <w:caps w:val="false"/>
          <w:color w:val="05132A"/>
          <w:sz w:val="21"/>
          <w:szCs w:val="21"/>
        </w:rPr>
        <w:t xml:space="preserve">Admin</w:t>
      </w:r>
      <w:r>
        <w:rPr>
          <w:rFonts w:ascii="Inter" w:cs="Inter" w:eastAsia="Inter" w:hAnsi="Inter"/>
          <w:b w:val="false"/>
          <w:bCs w:val="false"/>
          <w:i w:val="false"/>
          <w:iCs w:val="false"/>
          <w:caps w:val="false"/>
          <w:color w:val="05132A"/>
          <w:sz w:val="21"/>
          <w:szCs w:val="21"/>
        </w:rPr>
        <w:t xml:space="preserve"> is held by Emily as process owner and by the service account. It has full create, read, update and delete on the six personal and process tables (Applicant, Application, Review, Grant, Provider, and the Anonymised Statistic snapshot), including the special-category health and ethnicity fields. It owns the Settings, the views and the solution configuration. The service account also owns and runs the ten cloud flows and the external connections. Emily reviews the borderline applications the scoring flow flags, reviews the flagged anonymisation, sets the scoring threshold, and handles erasure requests.</w:t>
      </w:r>
    </w:p>
    <w:p>
      <w:pPr>
        <w:spacing w:after="160" w:before="0" w:line="276"/>
        <w:jc w:val="left"/>
      </w:pPr>
      <w:r>
        <w:rPr>
          <w:rFonts w:ascii="Inter" w:cs="Inter" w:eastAsia="Inter" w:hAnsi="Inter"/>
          <w:b w:val="false"/>
          <w:bCs w:val="false"/>
          <w:i w:val="false"/>
          <w:iCs w:val="false"/>
          <w:caps w:val="false"/>
          <w:color w:val="05132A"/>
          <w:sz w:val="21"/>
          <w:szCs w:val="21"/>
        </w:rPr>
        <w:t xml:space="preserve">Finance is held by the finance staff who record disbursements. It reaches only the Bank Account and Payment tables. The finance boundary is a deliberate separation of duties: even the admin role does not carry Bank Account or Payment table privileges, so bank details sit behind one role and one role only.</w:t>
      </w:r>
    </w:p>
    <w:p>
      <w:pPr>
        <w:spacing w:after="160" w:before="0" w:line="276"/>
        <w:jc w:val="left"/>
      </w:pPr>
      <w:r>
        <w:rPr>
          <w:rFonts w:ascii="Inter" w:cs="Inter" w:eastAsia="Inter" w:hAnsi="Inter"/>
          <w:b w:val="false"/>
          <w:bCs w:val="false"/>
          <w:i w:val="false"/>
          <w:iCs w:val="false"/>
          <w:caps w:val="false"/>
          <w:color w:val="05132A"/>
          <w:sz w:val="21"/>
          <w:szCs w:val="21"/>
        </w:rPr>
        <w:t xml:space="preserve">Trustee is held by the trustees, who are internal tenant users (Dataverse User lookups), not a custom table. It gives read-only, redacted access to eligible Application, Review and Grant records through the trustee Dataverse app, plus the right to record a verdict on the Review. Trustees never touch the tables directly; the app loads only the columns the field-level security profile permits.</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1300"/>
        <w:gridCol w:w="1900"/>
        <w:gridCol w:w="3826"/>
        <w:gridCol w:w="2000"/>
      </w:tblGrid>
      <w:tr>
        <w:trPr>
          <w:tblHeader/>
        </w:trPr>
        <w:tc>
          <w:tcPr>
            <w:tcW w:type="dxa" w:w="13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Role</w:t>
            </w:r>
          </w:p>
        </w:tc>
        <w:tc>
          <w:tcPr>
            <w:tcW w:type="dxa" w:w="19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Who</w:t>
            </w:r>
          </w:p>
        </w:tc>
        <w:tc>
          <w:tcPr>
            <w:tcW w:type="dxa" w:w="38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Tables and privileges</w:t>
            </w:r>
          </w:p>
        </w:tc>
        <w:tc>
          <w:tcPr>
            <w:tcW w:type="dxa" w:w="2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Notes</w:t>
            </w:r>
          </w:p>
        </w:tc>
      </w:tr>
      <w:tr>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w:t>
            </w:r>
          </w:p>
        </w:tc>
        <w:tc>
          <w:tcPr>
            <w:tcW w:type="dxa" w:w="19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 service account</w:t>
            </w:r>
          </w:p>
        </w:tc>
        <w:tc>
          <w:tcPr>
            <w:tcW w:type="dxa" w:w="3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 CRUD on Applicant, Application, Review, Grant, Provider and Anonymised Statistic, incl. special-category fields; owns Settings, views, config</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Service account owns and runs the flows and connections</w:t>
            </w:r>
          </w:p>
        </w:tc>
      </w:tr>
      <w:tr>
        <w:tc>
          <w:tcPr>
            <w:tcW w:type="dxa" w:w="1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Finance</w:t>
            </w:r>
          </w:p>
        </w:tc>
        <w:tc>
          <w:tcPr>
            <w:tcW w:type="dxa" w:w="19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Finance staff</w:t>
            </w:r>
          </w:p>
        </w:tc>
        <w:tc>
          <w:tcPr>
            <w:tcW w:type="dxa" w:w="3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Bank Account and Payment only: create, read, update</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The only role that sees bank details</w:t>
            </w:r>
          </w:p>
        </w:tc>
      </w:tr>
      <w:tr>
        <w:tc>
          <w:tcPr>
            <w:tcW w:type="dxa" w:w="1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Trustee</w:t>
            </w:r>
          </w:p>
        </w:tc>
        <w:tc>
          <w:tcPr>
            <w:tcW w:type="dxa" w:w="19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Trustees (tenant users)</w:t>
            </w:r>
          </w:p>
        </w:tc>
        <w:tc>
          <w:tcPr>
            <w:tcW w:type="dxa" w:w="3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 redacted Application, Review and Grant through the app; write verdicts on Review</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 direct table access; columns filtered by field-level security</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5. Field-level (column) security</w:t>
      </w:r>
    </w:p>
    <w:p>
      <w:pPr>
        <w:spacing w:after="160" w:before="0" w:line="276"/>
        <w:jc w:val="left"/>
      </w:pPr>
      <w:r>
        <w:rPr>
          <w:rFonts w:ascii="Inter" w:cs="Inter" w:eastAsia="Inter" w:hAnsi="Inter"/>
          <w:b w:val="false"/>
          <w:bCs w:val="false"/>
          <w:i w:val="false"/>
          <w:iCs w:val="false"/>
          <w:caps w:val="false"/>
          <w:color w:val="05132A"/>
          <w:sz w:val="21"/>
          <w:szCs w:val="21"/>
        </w:rPr>
        <w:t xml:space="preserve">The trustee role reads Application, Review and Grant, but must not see identity. A field-level (column) security profile on the trustee role hides the identifying columns, so they never reach the trustee app in the first place. This is the control that lets a trustee weigh a real case without learning who it belongs to.</w:t>
      </w:r>
    </w:p>
    <w:p>
      <w:pPr>
        <w:spacing w:after="160" w:before="0" w:line="276"/>
        <w:jc w:val="left"/>
      </w:pPr>
      <w:r>
        <w:rPr>
          <w:rFonts w:ascii="Inter" w:cs="Inter" w:eastAsia="Inter" w:hAnsi="Inter"/>
          <w:b w:val="false"/>
          <w:bCs w:val="false"/>
          <w:i w:val="false"/>
          <w:iCs w:val="false"/>
          <w:caps w:val="false"/>
          <w:color w:val="05132A"/>
          <w:sz w:val="21"/>
          <w:szCs w:val="21"/>
        </w:rPr>
        <w:t xml:space="preserve">The support-recipient and helper details are field groups on the Application table, under the same profile. A trustee therefore sees the cared-for person's condition profile, which is relevant to the case, but not their name, which is not.</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5000"/>
        <w:gridCol w:w="4026"/>
      </w:tblGrid>
      <w:tr>
        <w:trPr>
          <w:tblHeader/>
        </w:trPr>
        <w:tc>
          <w:tcPr>
            <w:tcW w:type="dxa" w:w="5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Column or field</w:t>
            </w:r>
          </w:p>
        </w:tc>
        <w:tc>
          <w:tcPr>
            <w:tcW w:type="dxa" w:w="40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Visible to</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Applicant name</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Address and postcode</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Email and phone</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Date of birth (where captured)</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Helper identity (name, email, phone)</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Support-recipient identity</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service account</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Bank account details (name, sort code, number)</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Finance only</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Payment records</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Finance only</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Pseudonymised ID</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finance, trustee</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Age range</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Location area</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Break start and end dates</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Costs and amount requested</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Wellbeing and financial answers</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Circumstance score (out of 60)</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Group linkage</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w:t>
            </w:r>
          </w:p>
        </w:tc>
      </w:tr>
      <w:tr>
        <w:tc>
          <w:tcPr>
            <w:tcW w:type="dxa" w:w="5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Support-recipient condition profile</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 (identity stays hidden)</w:t>
            </w:r>
          </w:p>
        </w:tc>
      </w:tr>
      <w:tr>
        <w:tc>
          <w:tcPr>
            <w:tcW w:type="dxa" w:w="5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AI-redacted narrative field</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Admin, trustee (raw text: admin only)</w:t>
            </w:r>
          </w:p>
        </w:tc>
      </w:tr>
    </w:tbl>
    <w:p>
      <w:pPr>
        <w:spacing w:after="160" w:before="0" w:line="276"/>
        <w:jc w:val="left"/>
      </w:pPr>
      <w:r>
        <w:rPr>
          <w:rFonts w:ascii="Inter" w:cs="Inter" w:eastAsia="Inter" w:hAnsi="Inter"/>
          <w:b/>
          <w:bCs/>
          <w:i w:val="false"/>
          <w:iCs w:val="false"/>
          <w:caps w:val="false"/>
          <w:color w:val="05132A"/>
          <w:sz w:val="21"/>
          <w:szCs w:val="21"/>
        </w:rPr>
        <w:t xml:space="preserve">This automated control replaces two manual controls. </w:t>
      </w:r>
      <w:r>
        <w:rPr>
          <w:rFonts w:ascii="Inter" w:cs="Inter" w:eastAsia="Inter" w:hAnsi="Inter"/>
          <w:b w:val="false"/>
          <w:bCs w:val="false"/>
          <w:i w:val="false"/>
          <w:iCs w:val="false"/>
          <w:caps w:val="false"/>
          <w:color w:val="05132A"/>
          <w:sz w:val="21"/>
          <w:szCs w:val="21"/>
        </w:rPr>
        <w:t>It stands in for Emily's manual anonymisation and the single-key-holder separation the documented process mandates. It is a stronger control, but a different one, so the DPO must review and sign it off before build starts on this basis. The fallback, if physical separation is required, is a separate trustee-facing table populated only with the permitted fields and kept in sync — more to maintain, but the columns are separated on the table rather than by profile.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6. Access matrix</w:t>
      </w:r>
    </w:p>
    <w:p>
      <w:pPr>
        <w:spacing w:after="160" w:before="0" w:line="276"/>
        <w:jc w:val="left"/>
      </w:pPr>
      <w:r>
        <w:rPr>
          <w:rFonts w:ascii="Inter" w:cs="Inter" w:eastAsia="Inter" w:hAnsi="Inter"/>
          <w:b w:val="false"/>
          <w:bCs w:val="false"/>
          <w:i w:val="false"/>
          <w:iCs w:val="false"/>
          <w:caps w:val="false"/>
          <w:color w:val="05132A"/>
          <w:sz w:val="21"/>
          <w:szCs w:val="21"/>
        </w:rPr>
        <w:t xml:space="preserve">The consolidated view. Rows are the components from the architecture's map (Solution Architecture v0.4 §5); columns are the three roles and the service identity. "Read redacted" means access filtered by the field-level security profile. "Runs" means the service account acts through a flow rather than a person signing in.</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626"/>
        <w:gridCol w:w="1600"/>
        <w:gridCol w:w="1600"/>
        <w:gridCol w:w="1600"/>
        <w:gridCol w:w="1600"/>
      </w:tblGrid>
      <w:tr>
        <w:trPr>
          <w:tblHeader/>
        </w:trPr>
        <w:tc>
          <w:tcPr>
            <w:tcW w:type="dxa" w:w="26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Component</w:t>
            </w:r>
          </w:p>
        </w:tc>
        <w:tc>
          <w:tcPr>
            <w:tcW w:type="dxa" w:w="1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Admin</w:t>
            </w:r>
          </w:p>
        </w:tc>
        <w:tc>
          <w:tcPr>
            <w:tcW w:type="dxa" w:w="1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Finance</w:t>
            </w:r>
          </w:p>
        </w:tc>
        <w:tc>
          <w:tcPr>
            <w:tcW w:type="dxa" w:w="1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Trustee</w:t>
            </w:r>
          </w:p>
        </w:tc>
        <w:tc>
          <w:tcPr>
            <w:tcW w:type="dxa" w:w="1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Service account</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Applicant table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Application table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 redacted</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Review table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 + verdict</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Grant table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 redacted</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Provider table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Bank Account table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Runs</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Payment table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Runs</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Anonymised Statistic</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Writes</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Error Log table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Writes</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Settings (env variables)</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Reads</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Signed-PDF library (SharePoint)</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Read</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Link only</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Writes</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Cloud flows</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Config</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Owns / runs</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Trustee Dataverse app</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Use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Publishes</w:t>
            </w:r>
          </w:p>
        </w:tc>
      </w:tr>
      <w:tr>
        <w:tc>
          <w:tcPr>
            <w:tcW w:type="dxa" w:w="26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DEV environment</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Maker</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None</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Maker</w:t>
            </w:r>
          </w:p>
        </w:tc>
      </w:tr>
      <w:tr>
        <w:tc>
          <w:tcPr>
            <w:tcW w:type="dxa" w:w="26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PROD environment</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Full</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Finance</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App only</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Owner</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7. Identity, authentication and Conditional Access</w:t>
      </w:r>
    </w:p>
    <w:p>
      <w:pPr>
        <w:spacing w:after="160" w:before="0" w:line="276"/>
        <w:jc w:val="left"/>
      </w:pPr>
      <w:r>
        <w:rPr>
          <w:rFonts w:ascii="Inter" w:cs="Inter" w:eastAsia="Inter" w:hAnsi="Inter"/>
          <w:b w:val="false"/>
          <w:bCs w:val="false"/>
          <w:i w:val="false"/>
          <w:iCs w:val="false"/>
          <w:caps w:val="false"/>
          <w:color w:val="05132A"/>
          <w:sz w:val="21"/>
          <w:szCs w:val="21"/>
        </w:rPr>
        <w:t xml:space="preserve">Access to a Dataverse environment starts with identity, before any security role applies. Each environment (DEV and PROD) is restricted to a dedicated Microsoft Entra ID security group, so only intended makers and the service account can reach it. Membership of the group is the outer gate; the security role is the inner one.</w:t>
      </w:r>
    </w:p>
    <w:p>
      <w:pPr>
        <w:spacing w:after="160" w:before="0" w:line="276"/>
        <w:jc w:val="left"/>
      </w:pPr>
      <w:r>
        <w:rPr>
          <w:rFonts w:ascii="Inter" w:cs="Inter" w:eastAsia="Inter" w:hAnsi="Inter"/>
          <w:b w:val="false"/>
          <w:bCs w:val="false"/>
          <w:i w:val="false"/>
          <w:iCs w:val="false"/>
          <w:caps w:val="false"/>
          <w:color w:val="05132A"/>
          <w:sz w:val="21"/>
          <w:szCs w:val="21"/>
        </w:rPr>
        <w:t xml:space="preserve">The service account svc-grantautomation signs in with multi-factor authentication and holds a documented Conditional Access exception, so its unattended flows are not blocked by an interactive-sign-in policy while the account stays scoped to the solution's connections. That account and exception are set up in WBS 0.3 and are currently waiting for Wanstor, Revitalise's IT provider.</w:t>
      </w:r>
    </w:p>
    <w:p>
      <w:pPr>
        <w:spacing w:after="160" w:before="0" w:line="276"/>
        <w:jc w:val="left"/>
      </w:pPr>
      <w:r>
        <w:rPr>
          <w:rFonts w:ascii="Inter" w:cs="Inter" w:eastAsia="Inter" w:hAnsi="Inter"/>
          <w:b w:val="false"/>
          <w:bCs w:val="false"/>
          <w:i w:val="false"/>
          <w:iCs w:val="false"/>
          <w:caps w:val="false"/>
          <w:color w:val="05132A"/>
          <w:sz w:val="21"/>
          <w:szCs w:val="21"/>
        </w:rPr>
        <w:t xml:space="preserve">Staff and trustees sign in with their own tenant accounts under multi-factor authentication. The trustee Dataverse app is shared only with the trustee security role, so a trustee reaches the secured data through the app and nowhere else.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8. Auditing and review</w:t>
      </w:r>
    </w:p>
    <w:p>
      <w:pPr>
        <w:spacing w:after="160" w:before="0" w:line="276"/>
        <w:jc w:val="left"/>
      </w:pPr>
      <w:r>
        <w:rPr>
          <w:rFonts w:ascii="Inter" w:cs="Inter" w:eastAsia="Inter" w:hAnsi="Inter"/>
          <w:b w:val="false"/>
          <w:bCs w:val="false"/>
          <w:i w:val="false"/>
          <w:iCs w:val="false"/>
          <w:caps w:val="false"/>
          <w:color w:val="05132A"/>
          <w:sz w:val="21"/>
          <w:szCs w:val="21"/>
        </w:rPr>
        <w:t xml:space="preserve">Two logs and one review cycle keep the model honest. Native Dataverse field-change auditing is switched on for the tables, so every create, update and delete on a record, and who made it, is recorded — the accountability trail UK GDPR Article 5(2) requires, without a bolt-on. App-access logging records who opened the trustee app and when.</w:t>
      </w:r>
    </w:p>
    <w:p>
      <w:pPr>
        <w:spacing w:after="160" w:before="0" w:line="276"/>
        <w:jc w:val="left"/>
      </w:pPr>
      <w:r>
        <w:rPr>
          <w:rFonts w:ascii="Inter" w:cs="Inter" w:eastAsia="Inter" w:hAnsi="Inter"/>
          <w:b w:val="false"/>
          <w:bCs w:val="false"/>
          <w:i w:val="false"/>
          <w:iCs w:val="false"/>
          <w:caps w:val="false"/>
          <w:color w:val="05132A"/>
          <w:sz w:val="21"/>
          <w:szCs w:val="21"/>
        </w:rPr>
        <w:t xml:space="preserve">Role membership is reviewed on a set cadence [TBC — confirm the review interval with Emily and the DPO; a review each quarter or at the start of each panel round is the working assumption]. Emily, as process owner, proposes role changes; the DPO is notified of any change to who can read special-category or finance data. Adding or removing a trustee follows the tenant joiner-and-leaver process run with Wanstor, so a trustee who leaves the board loses access when their tenant account is disabled.</w:t>
      </w:r>
    </w:p>
    <w:p>
      <w:pPr>
        <w:spacing w:after="160" w:before="0" w:line="276"/>
        <w:jc w:val="left"/>
      </w:pPr>
      <w:r>
        <w:rPr>
          <w:rFonts w:ascii="Inter" w:cs="Inter" w:eastAsia="Inter" w:hAnsi="Inter"/>
          <w:b w:val="false"/>
          <w:bCs w:val="false"/>
          <w:i w:val="false"/>
          <w:iCs w:val="false"/>
          <w:caps w:val="false"/>
          <w:color w:val="05132A"/>
          <w:sz w:val="21"/>
          <w:szCs w:val="21"/>
        </w:rPr>
        <w:t xml:space="preserve">Operational failures are captured in the Error Log table and raised to Emily by the REV | Ops | Failure Alert flow. The Error Log holds no personal data — run status, error messages and record references only — so it sits outside the field-level security model and the personal-data retention schedule.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9. Dependencies and sign-off</w:t>
      </w:r>
    </w:p>
    <w:p>
      <w:pPr>
        <w:spacing w:after="160" w:before="0" w:line="276"/>
        <w:jc w:val="left"/>
      </w:pPr>
      <w:r>
        <w:rPr>
          <w:rFonts w:ascii="Inter" w:cs="Inter" w:eastAsia="Inter" w:hAnsi="Inter"/>
          <w:b/>
          <w:bCs/>
          <w:i w:val="false"/>
          <w:iCs w:val="false"/>
          <w:caps w:val="false"/>
          <w:color w:val="05132A"/>
          <w:sz w:val="21"/>
          <w:szCs w:val="21"/>
        </w:rPr>
        <w:t xml:space="preserve">DPO sign-off is the gate on this model. </w:t>
      </w:r>
      <w:r>
        <w:rPr>
          <w:rFonts w:ascii="Inter" w:cs="Inter" w:eastAsia="Inter" w:hAnsi="Inter"/>
          <w:b w:val="false"/>
          <w:bCs w:val="false"/>
          <w:i w:val="false"/>
          <w:iCs w:val="false"/>
          <w:caps w:val="false"/>
          <w:color w:val="05132A"/>
          <w:sz w:val="21"/>
          <w:szCs w:val="21"/>
        </w:rPr>
        <w:t>Revitalise's DPO must sign off three things before build starts on this basis: that field-level (column) security is an acceptable trustee control in place of the manual, single-key-holder anonymisation; that automatic rejection at the configurable threshold, with Emily's oversight and override, satisfies the automated-decision position; and that six-year retention of the health free-text on granted records remains Revitalise's preference over earlier minimisation. This document sets the technical schema; it is not legal advice.</w:t>
      </w:r>
    </w:p>
    <w:p>
      <w:pPr>
        <w:pStyle w:val="Heading2"/>
        <w:spacing w:after="120" w:before="260"/>
      </w:pPr>
      <w:r>
        <w:rPr>
          <w:rFonts w:ascii="Montserrat" w:cs="Montserrat" w:eastAsia="Montserrat" w:hAnsi="Montserrat"/>
          <w:b/>
          <w:bCs/>
          <w:i w:val="false"/>
          <w:iCs w:val="false"/>
          <w:caps w:val="false"/>
          <w:color w:val="05132A"/>
          <w:sz w:val="24"/>
          <w:szCs w:val="24"/>
        </w:rPr>
        <w:t xml:space="preserve">Depends on</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WBS 0.3 — service accounts and the Conditional Access exception (svc-grantautomation), currently waiting for Wanstor.</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WBS 0.4 — the seven Dataverse tables and their columns built to the Grant Application Data Model v0.2, so the profile has real columns to secure.</w:t>
      </w:r>
    </w:p>
    <w:p>
      <w:pPr>
        <w:pStyle w:val="Heading2"/>
        <w:spacing w:after="120" w:before="260"/>
      </w:pPr>
      <w:r>
        <w:rPr>
          <w:rFonts w:ascii="Montserrat" w:cs="Montserrat" w:eastAsia="Montserrat" w:hAnsi="Montserrat"/>
          <w:b/>
          <w:bCs/>
          <w:i w:val="false"/>
          <w:iCs w:val="false"/>
          <w:caps w:val="false"/>
          <w:color w:val="05132A"/>
          <w:sz w:val="24"/>
          <w:szCs w:val="24"/>
        </w:rPr>
        <w:t xml:space="preserve">Feeds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WBS 0.7 — Data Governance Framework: retention, erasure, the DPIA and the RoPA sit on the roles set here.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WBS 0.8 — Governance Runbook: role handover, the review cadence and the joiner-and-leaver procedure.</w:t>
      </w:r>
    </w:p>
    <w:p>
      <w:pPr>
        <w:pBdr>
          <w:top w:val="single" w:color="C99A52" w:sz="8" w:space="8"/>
        </w:pBdr>
        <w:spacing w:after="0" w:before="480"/>
      </w:pPr>
      <w:r>
        <w:rPr>
          <w:rFonts w:ascii="Inter" w:cs="Inter" w:eastAsia="Inter" w:hAnsi="Inter"/>
          <w:b w:val="false"/>
          <w:bCs w:val="false"/>
          <w:i/>
          <w:iCs/>
          <w:caps w:val="false"/>
          <w:color w:val="8A9099"/>
          <w:sz w:val="18"/>
          <w:szCs w:val="18"/>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3" w:space="6"/>
      </w:pBdr>
      <w:tabs>
        <w:tab w:val="right" w:pos="9026"/>
      </w:tabs>
      <w:spacing w:before="60"/>
    </w:pPr>
    <w:r>
      <w:rPr>
        <w:rFonts w:ascii="Inter" w:cs="Inter" w:eastAsia="Inter" w:hAnsi="Inter"/>
        <w:b w:val="false"/>
        <w:bCs w:val="false"/>
        <w:i w:val="false"/>
        <w:iCs w:val="false"/>
        <w:caps w:val="false"/>
        <w:color w:val="8A9099"/>
        <w:sz w:val="15"/>
        <w:szCs w:val="15"/>
      </w:rPr>
      <w:t xml:space="preserve">Argelis Consultancy</w:t>
    </w:r>
    <w:r>
      <w:rPr>
        <w:rFonts w:ascii="Inter" w:cs="Inter" w:eastAsia="Inter" w:hAnsi="Inter"/>
      </w:rPr>
      <w:t xml:space="preserve">	</w:t>
    </w:r>
    <w:r>
      <w:rPr>
        <w:rFonts w:ascii="Inter" w:cs="Inter" w:eastAsia="Inter" w:hAnsi="Inter"/>
        <w:color w:val="8A9099"/>
        <w:sz w:val="15"/>
        <w:szCs w:val="15"/>
      </w:rPr>
      <w:t xml:space="preserve">Security Model — Revitalise Grant Automation  ·  v0.1 — Draft · Confidential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9A52"/>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51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Montserrat" w:cs="Montserrat" w:eastAsia="Montserrat" w:hAnsi="Montserrat"/>
      <w:b/>
      <w:bCs/>
      <w:color w:val="05132A"/>
      <w:sz w:val="30"/>
      <w:szCs w:val="30"/>
    </w:rPr>
  </w:style>
  <w:style w:type="paragraph" w:styleId="Heading2">
    <w:name w:val="Heading 2"/>
    <w:basedOn w:val="Normal"/>
    <w:next w:val="Normal"/>
    <w:qFormat/>
    <w:pPr>
      <w:spacing w:after="120" w:before="260"/>
    </w:pPr>
    <w:rPr>
      <w:rFonts w:ascii="Montserrat" w:cs="Montserrat" w:eastAsia="Montserrat" w:hAnsi="Montserrat"/>
      <w:b/>
      <w:bCs/>
      <w:color w:val="05132A"/>
      <w:sz w:val="24"/>
      <w:szCs w:val="24"/>
    </w:rPr>
  </w:style>
  <w:style w:type="paragraph" w:styleId="Heading3">
    <w:name w:val="Heading 3"/>
    <w:basedOn w:val="Normal"/>
    <w:next w:val="Normal"/>
    <w:qFormat/>
    <w:pPr>
      <w:spacing w:after="100" w:before="200"/>
    </w:pPr>
    <w:rPr>
      <w:rFonts w:ascii="Montserrat" w:cs="Montserrat" w:eastAsia="Montserrat" w:hAnsi="Montserrat"/>
      <w:b/>
      <w:bCs/>
      <w:color w:val="C99A52"/>
      <w:sz w:val="21"/>
      <w:szCs w:val="21"/>
    </w:rPr>
  </w:style>
</w:styles>
</file>

<file path=word/_rels/document.xml.rels><?xml version='1.0' encoding='UTF-8' standalone='yes'?>
<Relationships xmlns="http://schemas.openxmlformats.org/package/2006/relationships"><Relationship Id="rId8" Type="http://schemas.openxmlformats.org/officeDocument/2006/relationships/image" Target="media/66617952c1fc47261b9550e294056fd7eaee90ee.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4FD2093E-00F1-42C1-8761-C5CAFC696905}"/>
</file>

<file path=customXml/itemProps2.xml><?xml version="1.0" encoding="utf-8"?>
<ds:datastoreItem xmlns:ds="http://schemas.openxmlformats.org/officeDocument/2006/customXml" ds:itemID="{E176DE97-9D2B-4DE7-9FBA-8FD4C4AB20FE}"/>
</file>

<file path=customXml/itemProps3.xml><?xml version="1.0" encoding="utf-8"?>
<ds:datastoreItem xmlns:ds="http://schemas.openxmlformats.org/officeDocument/2006/customXml" ds:itemID="{8EDED180-8B8D-45A3-9564-B826C4E6898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model document (WBS 0.5)</dc:title>
  <dc:creator>Argelis Consultancy</dc:creator>
  <cp:lastModifiedBy>Un-named</cp:lastModifiedBy>
  <cp:revision>1</cp:revision>
  <dcterms:created xsi:type="dcterms:W3CDTF">2026-07-15T12:05:10Z</dcterms:created>
  <dcterms:modified xsi:type="dcterms:W3CDTF">2026-07-15T12:05:10Z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y fmtid="{D5CDD505-2E9C-101B-9397-08002B2CF9AE}" pid="3" name="MediaServiceImageTags">
    <vt:lpwstr/>
  </property>
</Properties>
</file>