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83D84B" w14:textId="77777777" w:rsidR="007F73D0" w:rsidRDefault="00000000">
      <w:pPr>
        <w:spacing w:after="200"/>
      </w:pPr>
      <w:r>
        <w:rPr>
          <w:noProof/>
        </w:rPr>
        <w:drawing>
          <wp:inline distT="0" distB="0" distL="0" distR="0" wp14:anchorId="3283DAEC" wp14:editId="11694876">
            <wp:extent cx="1956954" cy="6477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56954" cy="647700"/>
                    </a:xfrm>
                    <a:prstGeom prst="rect">
                      <a:avLst/>
                    </a:prstGeom>
                  </pic:spPr>
                </pic:pic>
              </a:graphicData>
            </a:graphic>
          </wp:inline>
        </w:drawing>
      </w:r>
    </w:p>
    <w:p w14:paraId="3283D84C" w14:textId="77777777" w:rsidR="007F73D0" w:rsidRDefault="007F73D0">
      <w:pPr>
        <w:spacing w:after="600"/>
      </w:pPr>
    </w:p>
    <w:p w14:paraId="3283D84D" w14:textId="77777777" w:rsidR="007F73D0" w:rsidRDefault="00000000">
      <w:pPr>
        <w:spacing w:after="40"/>
      </w:pPr>
      <w:r>
        <w:rPr>
          <w:b/>
          <w:bCs/>
          <w:color w:val="C99A52"/>
          <w:spacing w:val="60"/>
          <w:sz w:val="22"/>
          <w:szCs w:val="22"/>
        </w:rPr>
        <w:t>SOLUTION ARCHITECTURE</w:t>
      </w:r>
    </w:p>
    <w:p w14:paraId="3283D84E" w14:textId="77777777" w:rsidR="007F73D0" w:rsidRDefault="00000000">
      <w:pPr>
        <w:spacing w:after="60"/>
      </w:pPr>
      <w:r>
        <w:rPr>
          <w:b/>
          <w:bCs/>
          <w:color w:val="05132A"/>
          <w:sz w:val="58"/>
          <w:szCs w:val="58"/>
        </w:rPr>
        <w:t>Grant Application Process</w:t>
      </w:r>
    </w:p>
    <w:p w14:paraId="3283D84F" w14:textId="77777777" w:rsidR="007F73D0" w:rsidRDefault="00000000">
      <w:pPr>
        <w:spacing w:after="200"/>
      </w:pPr>
      <w:r>
        <w:rPr>
          <w:b/>
          <w:bCs/>
          <w:color w:val="05132A"/>
          <w:sz w:val="58"/>
          <w:szCs w:val="58"/>
        </w:rPr>
        <w:t>Automation Programme</w:t>
      </w:r>
    </w:p>
    <w:p w14:paraId="3283D850" w14:textId="77777777" w:rsidR="007F73D0" w:rsidRDefault="007F73D0">
      <w:pPr>
        <w:pBdr>
          <w:bottom w:val="single" w:sz="12" w:space="1" w:color="C99A52"/>
        </w:pBdr>
        <w:spacing w:before="160" w:after="160"/>
      </w:pPr>
    </w:p>
    <w:p w14:paraId="3283D851" w14:textId="77777777" w:rsidR="007F73D0" w:rsidRDefault="00000000">
      <w:pPr>
        <w:spacing w:after="300"/>
      </w:pPr>
      <w:r>
        <w:rPr>
          <w:i/>
          <w:iCs/>
          <w:color w:val="8A9099"/>
          <w:sz w:val="24"/>
          <w:szCs w:val="24"/>
        </w:rPr>
        <w:t>Overall solution approach, environment strategy, naming conventions, component map, integration architecture, and ALM packaging strategy.</w:t>
      </w:r>
    </w:p>
    <w:p w14:paraId="3283D852" w14:textId="77777777" w:rsidR="007F73D0" w:rsidRDefault="007F73D0">
      <w:pPr>
        <w:spacing w:after="1600"/>
      </w:pP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500"/>
      </w:tblGrid>
      <w:tr w:rsidR="007F73D0" w14:paraId="3283D855" w14:textId="77777777">
        <w:tblPrEx>
          <w:tblCellMar>
            <w:top w:w="0" w:type="dxa"/>
            <w:bottom w:w="0" w:type="dxa"/>
          </w:tblCellMar>
        </w:tblPrEx>
        <w:tc>
          <w:tcPr>
            <w:tcW w:w="2100" w:type="dxa"/>
            <w:tcMar>
              <w:top w:w="40" w:type="dxa"/>
              <w:bottom w:w="40" w:type="dxa"/>
              <w:right w:w="120" w:type="dxa"/>
            </w:tcMar>
          </w:tcPr>
          <w:p w14:paraId="3283D853" w14:textId="77777777" w:rsidR="007F73D0" w:rsidRDefault="00000000">
            <w:r>
              <w:rPr>
                <w:b/>
                <w:bCs/>
                <w:color w:val="C99A52"/>
                <w:spacing w:val="20"/>
                <w:sz w:val="15"/>
                <w:szCs w:val="15"/>
              </w:rPr>
              <w:t>CLIENT</w:t>
            </w:r>
          </w:p>
        </w:tc>
        <w:tc>
          <w:tcPr>
            <w:tcW w:w="4500" w:type="dxa"/>
            <w:tcMar>
              <w:top w:w="40" w:type="dxa"/>
              <w:bottom w:w="40" w:type="dxa"/>
            </w:tcMar>
          </w:tcPr>
          <w:p w14:paraId="3283D854" w14:textId="77777777" w:rsidR="007F73D0" w:rsidRDefault="00000000">
            <w:r>
              <w:rPr>
                <w:color w:val="05132A"/>
                <w:sz w:val="20"/>
                <w:szCs w:val="20"/>
              </w:rPr>
              <w:t>Revitalise</w:t>
            </w:r>
          </w:p>
        </w:tc>
      </w:tr>
      <w:tr w:rsidR="007F73D0" w14:paraId="3283D858" w14:textId="77777777">
        <w:tblPrEx>
          <w:tblCellMar>
            <w:top w:w="0" w:type="dxa"/>
            <w:bottom w:w="0" w:type="dxa"/>
          </w:tblCellMar>
        </w:tblPrEx>
        <w:tc>
          <w:tcPr>
            <w:tcW w:w="2100" w:type="dxa"/>
            <w:tcMar>
              <w:top w:w="40" w:type="dxa"/>
              <w:bottom w:w="40" w:type="dxa"/>
              <w:right w:w="120" w:type="dxa"/>
            </w:tcMar>
          </w:tcPr>
          <w:p w14:paraId="3283D856" w14:textId="77777777" w:rsidR="007F73D0" w:rsidRDefault="00000000">
            <w:r>
              <w:rPr>
                <w:b/>
                <w:bCs/>
                <w:color w:val="C99A52"/>
                <w:spacing w:val="20"/>
                <w:sz w:val="15"/>
                <w:szCs w:val="15"/>
              </w:rPr>
              <w:t>PREPARED BY</w:t>
            </w:r>
          </w:p>
        </w:tc>
        <w:tc>
          <w:tcPr>
            <w:tcW w:w="4500" w:type="dxa"/>
            <w:tcMar>
              <w:top w:w="40" w:type="dxa"/>
              <w:bottom w:w="40" w:type="dxa"/>
            </w:tcMar>
          </w:tcPr>
          <w:p w14:paraId="3283D857" w14:textId="77777777" w:rsidR="007F73D0" w:rsidRDefault="00000000">
            <w:r>
              <w:rPr>
                <w:color w:val="05132A"/>
                <w:sz w:val="20"/>
                <w:szCs w:val="20"/>
              </w:rPr>
              <w:t>Xander Lykopoulos — Argelis Consultancy</w:t>
            </w:r>
          </w:p>
        </w:tc>
      </w:tr>
      <w:tr w:rsidR="007F73D0" w14:paraId="3283D85B" w14:textId="77777777">
        <w:tblPrEx>
          <w:tblCellMar>
            <w:top w:w="0" w:type="dxa"/>
            <w:bottom w:w="0" w:type="dxa"/>
          </w:tblCellMar>
        </w:tblPrEx>
        <w:tc>
          <w:tcPr>
            <w:tcW w:w="2100" w:type="dxa"/>
            <w:tcMar>
              <w:top w:w="40" w:type="dxa"/>
              <w:bottom w:w="40" w:type="dxa"/>
              <w:right w:w="120" w:type="dxa"/>
            </w:tcMar>
          </w:tcPr>
          <w:p w14:paraId="3283D859" w14:textId="77777777" w:rsidR="007F73D0" w:rsidRDefault="00000000">
            <w:r>
              <w:rPr>
                <w:b/>
                <w:bCs/>
                <w:color w:val="C99A52"/>
                <w:spacing w:val="20"/>
                <w:sz w:val="15"/>
                <w:szCs w:val="15"/>
              </w:rPr>
              <w:t>DELIVERABLE</w:t>
            </w:r>
          </w:p>
        </w:tc>
        <w:tc>
          <w:tcPr>
            <w:tcW w:w="4500" w:type="dxa"/>
            <w:tcMar>
              <w:top w:w="40" w:type="dxa"/>
              <w:bottom w:w="40" w:type="dxa"/>
            </w:tcMar>
          </w:tcPr>
          <w:p w14:paraId="3283D85A" w14:textId="77777777" w:rsidR="007F73D0" w:rsidRDefault="00000000">
            <w:r>
              <w:rPr>
                <w:color w:val="05132A"/>
                <w:sz w:val="20"/>
                <w:szCs w:val="20"/>
              </w:rPr>
              <w:t>Solution architecture document (WBS 0.1)</w:t>
            </w:r>
          </w:p>
        </w:tc>
      </w:tr>
      <w:tr w:rsidR="007F73D0" w14:paraId="3283D85E" w14:textId="77777777">
        <w:tblPrEx>
          <w:tblCellMar>
            <w:top w:w="0" w:type="dxa"/>
            <w:bottom w:w="0" w:type="dxa"/>
          </w:tblCellMar>
        </w:tblPrEx>
        <w:tc>
          <w:tcPr>
            <w:tcW w:w="2100" w:type="dxa"/>
            <w:tcMar>
              <w:top w:w="40" w:type="dxa"/>
              <w:bottom w:w="40" w:type="dxa"/>
              <w:right w:w="120" w:type="dxa"/>
            </w:tcMar>
          </w:tcPr>
          <w:p w14:paraId="3283D85C" w14:textId="77777777" w:rsidR="007F73D0" w:rsidRDefault="00000000">
            <w:r>
              <w:rPr>
                <w:b/>
                <w:bCs/>
                <w:color w:val="C99A52"/>
                <w:spacing w:val="20"/>
                <w:sz w:val="15"/>
                <w:szCs w:val="15"/>
              </w:rPr>
              <w:t>VERSION</w:t>
            </w:r>
          </w:p>
        </w:tc>
        <w:tc>
          <w:tcPr>
            <w:tcW w:w="4500" w:type="dxa"/>
            <w:tcMar>
              <w:top w:w="40" w:type="dxa"/>
              <w:bottom w:w="40" w:type="dxa"/>
            </w:tcMar>
          </w:tcPr>
          <w:p w14:paraId="3283D85D" w14:textId="77777777" w:rsidR="007F73D0" w:rsidRDefault="00000000">
            <w:r>
              <w:rPr>
                <w:color w:val="05132A"/>
                <w:sz w:val="20"/>
                <w:szCs w:val="20"/>
              </w:rPr>
              <w:t>v0.4 — Draft for review</w:t>
            </w:r>
          </w:p>
        </w:tc>
      </w:tr>
      <w:tr w:rsidR="007F73D0" w14:paraId="3283D861" w14:textId="77777777">
        <w:tblPrEx>
          <w:tblCellMar>
            <w:top w:w="0" w:type="dxa"/>
            <w:bottom w:w="0" w:type="dxa"/>
          </w:tblCellMar>
        </w:tblPrEx>
        <w:tc>
          <w:tcPr>
            <w:tcW w:w="2100" w:type="dxa"/>
            <w:tcMar>
              <w:top w:w="40" w:type="dxa"/>
              <w:bottom w:w="40" w:type="dxa"/>
              <w:right w:w="120" w:type="dxa"/>
            </w:tcMar>
          </w:tcPr>
          <w:p w14:paraId="3283D85F" w14:textId="77777777" w:rsidR="007F73D0" w:rsidRDefault="00000000">
            <w:r>
              <w:rPr>
                <w:b/>
                <w:bCs/>
                <w:color w:val="C99A52"/>
                <w:spacing w:val="20"/>
                <w:sz w:val="15"/>
                <w:szCs w:val="15"/>
              </w:rPr>
              <w:t>DATE</w:t>
            </w:r>
          </w:p>
        </w:tc>
        <w:tc>
          <w:tcPr>
            <w:tcW w:w="4500" w:type="dxa"/>
            <w:tcMar>
              <w:top w:w="40" w:type="dxa"/>
              <w:bottom w:w="40" w:type="dxa"/>
            </w:tcMar>
          </w:tcPr>
          <w:p w14:paraId="3283D860" w14:textId="77777777" w:rsidR="007F73D0" w:rsidRDefault="00000000">
            <w:r>
              <w:rPr>
                <w:color w:val="05132A"/>
                <w:sz w:val="20"/>
                <w:szCs w:val="20"/>
              </w:rPr>
              <w:t>14 July 2026</w:t>
            </w:r>
          </w:p>
        </w:tc>
      </w:tr>
      <w:tr w:rsidR="007F73D0" w14:paraId="3283D864" w14:textId="77777777">
        <w:tblPrEx>
          <w:tblCellMar>
            <w:top w:w="0" w:type="dxa"/>
            <w:bottom w:w="0" w:type="dxa"/>
          </w:tblCellMar>
        </w:tblPrEx>
        <w:tc>
          <w:tcPr>
            <w:tcW w:w="2100" w:type="dxa"/>
            <w:tcMar>
              <w:top w:w="40" w:type="dxa"/>
              <w:bottom w:w="40" w:type="dxa"/>
              <w:right w:w="120" w:type="dxa"/>
            </w:tcMar>
          </w:tcPr>
          <w:p w14:paraId="3283D862" w14:textId="77777777" w:rsidR="007F73D0" w:rsidRDefault="00000000">
            <w:r>
              <w:rPr>
                <w:b/>
                <w:bCs/>
                <w:color w:val="C99A52"/>
                <w:spacing w:val="20"/>
                <w:sz w:val="15"/>
                <w:szCs w:val="15"/>
              </w:rPr>
              <w:t>STATUS</w:t>
            </w:r>
          </w:p>
        </w:tc>
        <w:tc>
          <w:tcPr>
            <w:tcW w:w="4500" w:type="dxa"/>
            <w:tcMar>
              <w:top w:w="40" w:type="dxa"/>
              <w:bottom w:w="40" w:type="dxa"/>
            </w:tcMar>
          </w:tcPr>
          <w:p w14:paraId="3283D863" w14:textId="77777777" w:rsidR="007F73D0" w:rsidRDefault="00000000">
            <w:r>
              <w:rPr>
                <w:color w:val="05132A"/>
                <w:sz w:val="20"/>
                <w:szCs w:val="20"/>
              </w:rPr>
              <w:t>Draft</w:t>
            </w:r>
          </w:p>
        </w:tc>
      </w:tr>
    </w:tbl>
    <w:p w14:paraId="3283D865" w14:textId="77777777" w:rsidR="007F73D0" w:rsidRDefault="00000000">
      <w:r>
        <w:t>field-level security for trustees pending DPO sign-off; re-based data retention onto native Dataverse bulk delete and cascade, demoting the custom sweep flow to a light cross-system helper. v0.3 (9 Jul 2026): prior SharePoint-based baseline. Rev 15 Jul 2026: corrected the scoring description to automatic scoring with human oversight and override; added an operational Error Log table and a REV | Ops | Failure Alert flow for failure logging and alerting.</w:t>
      </w:r>
    </w:p>
    <w:p w14:paraId="3283D866" w14:textId="77777777" w:rsidR="007F73D0" w:rsidRDefault="007F73D0">
      <w:pPr>
        <w:sectPr w:rsidR="007F73D0">
          <w:footerReference w:type="default" r:id="rId12"/>
          <w:pgSz w:w="11906" w:h="16838"/>
          <w:pgMar w:top="1440" w:right="1440" w:bottom="1440" w:left="1440" w:header="708" w:footer="708" w:gutter="0"/>
          <w:cols w:space="720"/>
          <w:docGrid w:linePitch="360"/>
        </w:sectPr>
      </w:pPr>
    </w:p>
    <w:p w14:paraId="3283D867" w14:textId="77777777" w:rsidR="007F73D0" w:rsidRDefault="00000000">
      <w:pPr>
        <w:pStyle w:val="Heading1"/>
      </w:pPr>
      <w:bookmarkStart w:id="0" w:name="_Toc235006521"/>
      <w:r>
        <w:lastRenderedPageBreak/>
        <w:t>Contents</w:t>
      </w:r>
      <w:bookmarkEnd w:id="0"/>
    </w:p>
    <w:sdt>
      <w:sdtPr>
        <w:id w:val="248935115"/>
        <w:docPartObj>
          <w:docPartGallery w:val="Table of Contents"/>
          <w:docPartUnique/>
        </w:docPartObj>
      </w:sdtPr>
      <w:sdtEndPr>
        <w:rPr>
          <w:rFonts w:ascii="Arial" w:eastAsia="Arial" w:hAnsi="Arial" w:cs="Arial"/>
          <w:noProof/>
          <w:color w:val="1B2430"/>
          <w:sz w:val="21"/>
          <w:szCs w:val="21"/>
          <w:lang w:val="en-NL" w:eastAsia="en-GB"/>
        </w:rPr>
      </w:sdtEndPr>
      <w:sdtContent>
        <w:p w14:paraId="13757983" w14:textId="7B6D44CE" w:rsidR="00D147DE" w:rsidRPr="009F6570" w:rsidRDefault="00D147DE" w:rsidP="009F6570">
          <w:pPr>
            <w:pStyle w:val="TOCHeading"/>
            <w:rPr>
              <w:rFonts w:ascii="Avenir" w:hAnsi="Avenir"/>
              <w:b w:val="0"/>
              <w:bCs w:val="0"/>
              <w:noProof/>
              <w:sz w:val="16"/>
              <w:szCs w:val="16"/>
            </w:rPr>
          </w:pPr>
          <w:r>
            <w:rPr>
              <w:rFonts w:ascii="Avenir" w:hAnsi="Avenir"/>
              <w:b w:val="0"/>
              <w:bCs w:val="0"/>
              <w:sz w:val="20"/>
              <w:szCs w:val="20"/>
            </w:rPr>
            <w:fldChar w:fldCharType="begin"/>
            <w:instrText xml:space="preserve"> TOC \o "1-3" \h \z \u </w:instrText>
            <w:fldChar w:fldCharType="separate"/>
          </w:r>
          <w:hyperlink w:anchor="_Toc235006522" w:history="1">
            <w:r>
              <w:rPr>
                <w:rStyle w:val="Hyperlink"/>
                <w:rFonts w:ascii="Avenir" w:hAnsi="Avenir"/>
                <w:b w:val="0"/>
                <w:bCs w:val="0"/>
                <w:noProof/>
                <w:sz w:val="16"/>
                <w:szCs w:val="16"/>
              </w:rPr>
              <w:t>1. Purpose and scope</w:t>
            </w:r>
            <w:r>
              <w:rPr>
                <w:rFonts w:ascii="Avenir" w:hAnsi="Avenir"/>
                <w:b w:val="0"/>
                <w:bCs w:val="0"/>
                <w:noProof/>
                <w:webHidden/>
                <w:sz w:val="16"/>
                <w:szCs w:val="16"/>
              </w:rPr>
              <w:tab/>
              <w:fldChar w:fldCharType="begin"/>
              <w:instrText xml:space="preserve"> PAGEREF _Toc235006522 \h </w:instrText>
              <w:fldChar w:fldCharType="separate"/>
              <w:t>3</w:t>
              <w:fldChar w:fldCharType="end"/>
            </w:r>
          </w:hyperlink>
        </w:p>
        <w:p w14:paraId="1CC35AA1" w14:textId="6CD8E628" w:rsidR="00D147DE" w:rsidRPr="009F6570" w:rsidRDefault="00D147DE">
          <w:pPr>
            <w:pStyle w:val="TOC2"/>
            <w:tabs>
              <w:tab w:val="right" w:leader="dot" w:pos="9016"/>
            </w:tabs>
            <w:rPr>
              <w:rFonts w:ascii="Avenir" w:hAnsi="Avenir"/>
              <w:b w:val="0"/>
              <w:bCs w:val="0"/>
              <w:noProof/>
              <w:sz w:val="15"/>
              <w:szCs w:val="15"/>
            </w:rPr>
          </w:pPr>
          <w:hyperlink w:anchor="_Toc235006523" w:history="1">
            <w:r>
              <w:rPr>
                <w:rStyle w:val="Hyperlink"/>
                <w:rFonts w:ascii="Avenir" w:hAnsi="Avenir"/>
                <w:b w:val="0"/>
                <w:bCs w:val="0"/>
                <w:noProof/>
                <w:sz w:val="15"/>
                <w:szCs w:val="15"/>
              </w:rPr>
              <w:t>Related documents</w:t>
            </w:r>
            <w:r>
              <w:rPr>
                <w:rFonts w:ascii="Avenir" w:hAnsi="Avenir"/>
                <w:b w:val="0"/>
                <w:bCs w:val="0"/>
                <w:noProof/>
                <w:webHidden/>
                <w:sz w:val="15"/>
                <w:szCs w:val="15"/>
              </w:rPr>
              <w:tab/>
              <w:fldChar w:fldCharType="begin"/>
              <w:instrText xml:space="preserve"> PAGEREF _Toc235006523 \h </w:instrText>
              <w:fldChar w:fldCharType="separate"/>
              <w:t>3</w:t>
              <w:fldChar w:fldCharType="end"/>
            </w:r>
          </w:hyperlink>
        </w:p>
        <w:p w14:paraId="0D788345" w14:textId="7442A106" w:rsidR="00D147DE" w:rsidRPr="009F6570" w:rsidRDefault="00D147DE">
          <w:pPr>
            <w:pStyle w:val="TOC2"/>
            <w:tabs>
              <w:tab w:val="right" w:leader="dot" w:pos="9016"/>
            </w:tabs>
            <w:rPr>
              <w:rFonts w:ascii="Avenir" w:hAnsi="Avenir"/>
              <w:b w:val="0"/>
              <w:bCs w:val="0"/>
              <w:noProof/>
              <w:sz w:val="15"/>
              <w:szCs w:val="15"/>
            </w:rPr>
          </w:pPr>
          <w:hyperlink w:anchor="_Toc235006524" w:history="1">
            <w:r>
              <w:rPr>
                <w:rStyle w:val="Hyperlink"/>
                <w:rFonts w:ascii="Avenir" w:hAnsi="Avenir"/>
                <w:b w:val="0"/>
                <w:bCs w:val="0"/>
                <w:noProof/>
                <w:sz w:val="15"/>
                <w:szCs w:val="15"/>
              </w:rPr>
              <w:t>Out of scope for this document</w:t>
            </w:r>
            <w:r>
              <w:rPr>
                <w:rFonts w:ascii="Avenir" w:hAnsi="Avenir"/>
                <w:b w:val="0"/>
                <w:bCs w:val="0"/>
                <w:noProof/>
                <w:webHidden/>
                <w:sz w:val="15"/>
                <w:szCs w:val="15"/>
              </w:rPr>
              <w:tab/>
              <w:fldChar w:fldCharType="begin"/>
              <w:instrText xml:space="preserve"> PAGEREF _Toc235006524 \h </w:instrText>
              <w:fldChar w:fldCharType="separate"/>
              <w:t>3</w:t>
              <w:fldChar w:fldCharType="end"/>
            </w:r>
          </w:hyperlink>
        </w:p>
        <w:p w14:paraId="6350AB0E" w14:textId="174E5A37" w:rsidR="00D147DE" w:rsidRPr="009F6570" w:rsidRDefault="00D147DE">
          <w:pPr>
            <w:pStyle w:val="TOC1"/>
            <w:tabs>
              <w:tab w:val="right" w:leader="dot" w:pos="9016"/>
            </w:tabs>
            <w:rPr>
              <w:rFonts w:ascii="Avenir" w:hAnsi="Avenir"/>
              <w:b w:val="0"/>
              <w:bCs w:val="0"/>
              <w:i w:val="0"/>
              <w:iCs w:val="0"/>
              <w:noProof/>
              <w:sz w:val="16"/>
              <w:szCs w:val="16"/>
            </w:rPr>
          </w:pPr>
          <w:hyperlink w:anchor="_Toc235006525" w:history="1">
            <w:r>
              <w:rPr>
                <w:rStyle w:val="Hyperlink"/>
                <w:rFonts w:ascii="Avenir" w:hAnsi="Avenir"/>
                <w:b w:val="0"/>
                <w:bCs w:val="0"/>
                <w:i w:val="0"/>
                <w:iCs w:val="0"/>
                <w:noProof/>
                <w:sz w:val="16"/>
                <w:szCs w:val="16"/>
              </w:rPr>
              <w:t>2. Overall solution approach</w:t>
            </w:r>
            <w:r>
              <w:rPr>
                <w:rFonts w:ascii="Avenir" w:hAnsi="Avenir"/>
                <w:b w:val="0"/>
                <w:bCs w:val="0"/>
                <w:i w:val="0"/>
                <w:iCs w:val="0"/>
                <w:noProof/>
                <w:webHidden/>
                <w:sz w:val="16"/>
                <w:szCs w:val="16"/>
              </w:rPr>
              <w:tab/>
              <w:fldChar w:fldCharType="begin"/>
              <w:instrText xml:space="preserve"> PAGEREF _Toc235006525 \h </w:instrText>
              <w:fldChar w:fldCharType="separate"/>
              <w:t>4</w:t>
              <w:fldChar w:fldCharType="end"/>
            </w:r>
          </w:hyperlink>
        </w:p>
        <w:p w14:paraId="28BF32BF" w14:textId="5BE90979" w:rsidR="00D147DE" w:rsidRPr="009F6570" w:rsidRDefault="00D147DE">
          <w:pPr>
            <w:pStyle w:val="TOC2"/>
            <w:tabs>
              <w:tab w:val="right" w:leader="dot" w:pos="9016"/>
            </w:tabs>
            <w:rPr>
              <w:rFonts w:ascii="Avenir" w:hAnsi="Avenir"/>
              <w:b w:val="0"/>
              <w:bCs w:val="0"/>
              <w:noProof/>
              <w:sz w:val="15"/>
              <w:szCs w:val="15"/>
            </w:rPr>
          </w:pPr>
          <w:hyperlink w:anchor="_Toc235006526" w:history="1">
            <w:r>
              <w:rPr>
                <w:rStyle w:val="Hyperlink"/>
                <w:rFonts w:ascii="Avenir" w:hAnsi="Avenir"/>
                <w:b w:val="0"/>
                <w:bCs w:val="0"/>
                <w:noProof/>
                <w:sz w:val="15"/>
                <w:szCs w:val="15"/>
              </w:rPr>
              <w:t>Architecture principles</w:t>
            </w:r>
            <w:r>
              <w:rPr>
                <w:rFonts w:ascii="Avenir" w:hAnsi="Avenir"/>
                <w:b w:val="0"/>
                <w:bCs w:val="0"/>
                <w:noProof/>
                <w:webHidden/>
                <w:sz w:val="15"/>
                <w:szCs w:val="15"/>
              </w:rPr>
              <w:tab/>
              <w:fldChar w:fldCharType="begin"/>
              <w:instrText xml:space="preserve"> PAGEREF _Toc235006526 \h </w:instrText>
              <w:fldChar w:fldCharType="separate"/>
              <w:t>4</w:t>
              <w:fldChar w:fldCharType="end"/>
            </w:r>
          </w:hyperlink>
        </w:p>
        <w:p w14:paraId="4A0A8A20" w14:textId="7B5A0322" w:rsidR="00D147DE" w:rsidRPr="009F6570" w:rsidRDefault="00D147DE">
          <w:pPr>
            <w:pStyle w:val="TOC2"/>
            <w:tabs>
              <w:tab w:val="right" w:leader="dot" w:pos="9016"/>
            </w:tabs>
            <w:rPr>
              <w:rFonts w:ascii="Avenir" w:hAnsi="Avenir"/>
              <w:b w:val="0"/>
              <w:bCs w:val="0"/>
              <w:noProof/>
              <w:sz w:val="15"/>
              <w:szCs w:val="15"/>
            </w:rPr>
          </w:pPr>
          <w:hyperlink w:anchor="_Toc235006527" w:history="1">
            <w:r>
              <w:rPr>
                <w:rStyle w:val="Hyperlink"/>
                <w:rFonts w:ascii="Avenir" w:hAnsi="Avenir"/>
                <w:b w:val="0"/>
                <w:bCs w:val="0"/>
                <w:noProof/>
                <w:sz w:val="15"/>
                <w:szCs w:val="15"/>
              </w:rPr>
              <w:t>Platform stack</w:t>
            </w:r>
            <w:r>
              <w:rPr>
                <w:rFonts w:ascii="Avenir" w:hAnsi="Avenir"/>
                <w:b w:val="0"/>
                <w:bCs w:val="0"/>
                <w:noProof/>
                <w:webHidden/>
                <w:sz w:val="15"/>
                <w:szCs w:val="15"/>
              </w:rPr>
              <w:tab/>
              <w:fldChar w:fldCharType="begin"/>
              <w:instrText xml:space="preserve"> PAGEREF _Toc235006527 \h </w:instrText>
              <w:fldChar w:fldCharType="separate"/>
              <w:t>4</w:t>
              <w:fldChar w:fldCharType="end"/>
            </w:r>
          </w:hyperlink>
        </w:p>
        <w:p w14:paraId="1161C512" w14:textId="2800709A" w:rsidR="00D147DE" w:rsidRPr="009F6570" w:rsidRDefault="00D147DE">
          <w:pPr>
            <w:pStyle w:val="TOC2"/>
            <w:tabs>
              <w:tab w:val="right" w:leader="dot" w:pos="9016"/>
            </w:tabs>
            <w:rPr>
              <w:rFonts w:ascii="Avenir" w:hAnsi="Avenir"/>
              <w:b w:val="0"/>
              <w:bCs w:val="0"/>
              <w:noProof/>
              <w:sz w:val="15"/>
              <w:szCs w:val="15"/>
            </w:rPr>
          </w:pPr>
          <w:hyperlink w:anchor="_Toc235006528" w:history="1">
            <w:r>
              <w:rPr>
                <w:rStyle w:val="Hyperlink"/>
                <w:rFonts w:ascii="Avenir" w:hAnsi="Avenir"/>
                <w:b w:val="0"/>
                <w:bCs w:val="0"/>
                <w:noProof/>
                <w:sz w:val="15"/>
                <w:szCs w:val="15"/>
              </w:rPr>
              <w:t>Solution boundary</w:t>
            </w:r>
            <w:r>
              <w:rPr>
                <w:rFonts w:ascii="Avenir" w:hAnsi="Avenir"/>
                <w:b w:val="0"/>
                <w:bCs w:val="0"/>
                <w:noProof/>
                <w:webHidden/>
                <w:sz w:val="15"/>
                <w:szCs w:val="15"/>
              </w:rPr>
              <w:tab/>
              <w:fldChar w:fldCharType="begin"/>
              <w:instrText xml:space="preserve"> PAGEREF _Toc235006528 \h </w:instrText>
              <w:fldChar w:fldCharType="separate"/>
              <w:t>4</w:t>
              <w:fldChar w:fldCharType="end"/>
            </w:r>
          </w:hyperlink>
        </w:p>
        <w:p w14:paraId="6ED1F60A" w14:textId="12AE1066" w:rsidR="00D147DE" w:rsidRPr="009F6570" w:rsidRDefault="00D147DE">
          <w:pPr>
            <w:pStyle w:val="TOC1"/>
            <w:tabs>
              <w:tab w:val="right" w:leader="dot" w:pos="9016"/>
            </w:tabs>
            <w:rPr>
              <w:rFonts w:ascii="Avenir" w:hAnsi="Avenir"/>
              <w:b w:val="0"/>
              <w:bCs w:val="0"/>
              <w:i w:val="0"/>
              <w:iCs w:val="0"/>
              <w:noProof/>
              <w:sz w:val="16"/>
              <w:szCs w:val="16"/>
            </w:rPr>
          </w:pPr>
          <w:hyperlink w:anchor="_Toc235006529" w:history="1">
            <w:r>
              <w:rPr>
                <w:rStyle w:val="Hyperlink"/>
                <w:rFonts w:ascii="Avenir" w:hAnsi="Avenir"/>
                <w:b w:val="0"/>
                <w:bCs w:val="0"/>
                <w:i w:val="0"/>
                <w:iCs w:val="0"/>
                <w:noProof/>
                <w:sz w:val="16"/>
                <w:szCs w:val="16"/>
              </w:rPr>
              <w:t>3. Environment strategy</w:t>
            </w:r>
            <w:r>
              <w:rPr>
                <w:rFonts w:ascii="Avenir" w:hAnsi="Avenir"/>
                <w:b w:val="0"/>
                <w:bCs w:val="0"/>
                <w:i w:val="0"/>
                <w:iCs w:val="0"/>
                <w:noProof/>
                <w:webHidden/>
                <w:sz w:val="16"/>
                <w:szCs w:val="16"/>
              </w:rPr>
              <w:tab/>
              <w:fldChar w:fldCharType="begin"/>
              <w:instrText xml:space="preserve"> PAGEREF _Toc235006529 \h </w:instrText>
              <w:fldChar w:fldCharType="separate"/>
              <w:t>6</w:t>
              <w:fldChar w:fldCharType="end"/>
            </w:r>
          </w:hyperlink>
        </w:p>
        <w:p w14:paraId="07D8C7CF" w14:textId="3AA3D2C2" w:rsidR="00D147DE" w:rsidRPr="009F6570" w:rsidRDefault="00D147DE">
          <w:pPr>
            <w:pStyle w:val="TOC3"/>
            <w:tabs>
              <w:tab w:val="right" w:leader="dot" w:pos="9016"/>
            </w:tabs>
            <w:rPr>
              <w:rFonts w:ascii="Avenir" w:hAnsi="Avenir"/>
              <w:noProof/>
              <w:sz w:val="11"/>
              <w:szCs w:val="11"/>
            </w:rPr>
          </w:pPr>
          <w:hyperlink w:anchor="_Toc235006530" w:history="1">
            <w:r>
              <w:rPr>
                <w:rStyle w:val="Hyperlink"/>
                <w:rFonts w:ascii="Avenir" w:hAnsi="Avenir"/>
                <w:noProof/>
                <w:sz w:val="11"/>
                <w:szCs w:val="11"/>
              </w:rPr>
              <w:t>Environment configuration</w:t>
            </w:r>
            <w:r>
              <w:rPr>
                <w:rFonts w:ascii="Avenir" w:hAnsi="Avenir"/>
                <w:noProof/>
                <w:webHidden/>
                <w:sz w:val="11"/>
                <w:szCs w:val="11"/>
              </w:rPr>
              <w:tab/>
              <w:fldChar w:fldCharType="begin"/>
              <w:instrText xml:space="preserve"> PAGEREF _Toc235006530 \h </w:instrText>
              <w:fldChar w:fldCharType="separate"/>
              <w:t>6</w:t>
              <w:fldChar w:fldCharType="end"/>
            </w:r>
          </w:hyperlink>
        </w:p>
        <w:p w14:paraId="22761283" w14:textId="59EF16A9" w:rsidR="00D147DE" w:rsidRPr="009F6570" w:rsidRDefault="00D147DE">
          <w:pPr>
            <w:pStyle w:val="TOC3"/>
            <w:tabs>
              <w:tab w:val="right" w:leader="dot" w:pos="9016"/>
            </w:tabs>
            <w:rPr>
              <w:rFonts w:ascii="Avenir" w:hAnsi="Avenir"/>
              <w:noProof/>
              <w:sz w:val="11"/>
              <w:szCs w:val="11"/>
            </w:rPr>
          </w:pPr>
          <w:hyperlink w:anchor="_Toc235006531" w:history="1">
            <w:r>
              <w:rPr>
                <w:rStyle w:val="Hyperlink"/>
                <w:rFonts w:ascii="Avenir" w:hAnsi="Avenir"/>
                <w:noProof/>
                <w:sz w:val="11"/>
                <w:szCs w:val="11"/>
              </w:rPr>
              <w:t>Data Loss Prevention (DLP)</w:t>
            </w:r>
            <w:r>
              <w:rPr>
                <w:rFonts w:ascii="Avenir" w:hAnsi="Avenir"/>
                <w:noProof/>
                <w:webHidden/>
                <w:sz w:val="11"/>
                <w:szCs w:val="11"/>
              </w:rPr>
              <w:tab/>
              <w:fldChar w:fldCharType="begin"/>
              <w:instrText xml:space="preserve"> PAGEREF _Toc235006531 \h </w:instrText>
              <w:fldChar w:fldCharType="separate"/>
              <w:t>6</w:t>
              <w:fldChar w:fldCharType="end"/>
            </w:r>
          </w:hyperlink>
        </w:p>
        <w:p w14:paraId="26B0FBEA" w14:textId="2FA36B6C" w:rsidR="00D147DE" w:rsidRPr="009F6570" w:rsidRDefault="00D147DE">
          <w:pPr>
            <w:pStyle w:val="TOC3"/>
            <w:tabs>
              <w:tab w:val="right" w:leader="dot" w:pos="9016"/>
            </w:tabs>
            <w:rPr>
              <w:rFonts w:ascii="Avenir" w:hAnsi="Avenir"/>
              <w:noProof/>
              <w:sz w:val="11"/>
              <w:szCs w:val="11"/>
            </w:rPr>
          </w:pPr>
          <w:hyperlink w:anchor="_Toc235006532" w:history="1">
            <w:r>
              <w:rPr>
                <w:rStyle w:val="Hyperlink"/>
                <w:rFonts w:ascii="Avenir" w:hAnsi="Avenir"/>
                <w:noProof/>
                <w:sz w:val="11"/>
                <w:szCs w:val="11"/>
              </w:rPr>
              <w:t>Licensing implications</w:t>
            </w:r>
            <w:r>
              <w:rPr>
                <w:rFonts w:ascii="Avenir" w:hAnsi="Avenir"/>
                <w:noProof/>
                <w:webHidden/>
                <w:sz w:val="11"/>
                <w:szCs w:val="11"/>
              </w:rPr>
              <w:tab/>
              <w:fldChar w:fldCharType="begin"/>
              <w:instrText xml:space="preserve"> PAGEREF _Toc235006532 \h </w:instrText>
              <w:fldChar w:fldCharType="separate"/>
              <w:t>6</w:t>
              <w:fldChar w:fldCharType="end"/>
            </w:r>
          </w:hyperlink>
        </w:p>
        <w:p w14:paraId="6EBD0F0E" w14:textId="258ADAB9" w:rsidR="00D147DE" w:rsidRPr="009F6570" w:rsidRDefault="00D147DE">
          <w:pPr>
            <w:pStyle w:val="TOC1"/>
            <w:tabs>
              <w:tab w:val="right" w:leader="dot" w:pos="9016"/>
            </w:tabs>
            <w:rPr>
              <w:rFonts w:ascii="Avenir" w:hAnsi="Avenir"/>
              <w:b w:val="0"/>
              <w:bCs w:val="0"/>
              <w:i w:val="0"/>
              <w:iCs w:val="0"/>
              <w:noProof/>
              <w:sz w:val="16"/>
              <w:szCs w:val="16"/>
            </w:rPr>
          </w:pPr>
          <w:hyperlink w:anchor="_Toc235006533" w:history="1">
            <w:r>
              <w:rPr>
                <w:rStyle w:val="Hyperlink"/>
                <w:rFonts w:ascii="Avenir" w:hAnsi="Avenir"/>
                <w:b w:val="0"/>
                <w:bCs w:val="0"/>
                <w:i w:val="0"/>
                <w:iCs w:val="0"/>
                <w:noProof/>
                <w:sz w:val="16"/>
                <w:szCs w:val="16"/>
              </w:rPr>
              <w:t>4. Naming conventions</w:t>
            </w:r>
            <w:r>
              <w:rPr>
                <w:rFonts w:ascii="Avenir" w:hAnsi="Avenir"/>
                <w:b w:val="0"/>
                <w:bCs w:val="0"/>
                <w:i w:val="0"/>
                <w:iCs w:val="0"/>
                <w:noProof/>
                <w:webHidden/>
                <w:sz w:val="16"/>
                <w:szCs w:val="16"/>
              </w:rPr>
              <w:tab/>
              <w:fldChar w:fldCharType="begin"/>
              <w:instrText xml:space="preserve"> PAGEREF _Toc235006533 \h </w:instrText>
              <w:fldChar w:fldCharType="separate"/>
              <w:t>8</w:t>
              <w:fldChar w:fldCharType="end"/>
            </w:r>
          </w:hyperlink>
        </w:p>
        <w:p w14:paraId="65F77E20" w14:textId="202DDF33" w:rsidR="00D147DE" w:rsidRPr="009F6570" w:rsidRDefault="00D147DE">
          <w:pPr>
            <w:pStyle w:val="TOC2"/>
            <w:tabs>
              <w:tab w:val="right" w:leader="dot" w:pos="9016"/>
            </w:tabs>
            <w:rPr>
              <w:rFonts w:ascii="Avenir" w:hAnsi="Avenir"/>
              <w:b w:val="0"/>
              <w:bCs w:val="0"/>
              <w:noProof/>
              <w:sz w:val="15"/>
              <w:szCs w:val="15"/>
            </w:rPr>
          </w:pPr>
          <w:hyperlink w:anchor="_Toc235006534" w:history="1">
            <w:r>
              <w:rPr>
                <w:rStyle w:val="Hyperlink"/>
                <w:rFonts w:ascii="Avenir" w:hAnsi="Avenir"/>
                <w:b w:val="0"/>
                <w:bCs w:val="0"/>
                <w:noProof/>
                <w:sz w:val="15"/>
                <w:szCs w:val="15"/>
              </w:rPr>
              <w:t>Environments and solution</w:t>
            </w:r>
            <w:r>
              <w:rPr>
                <w:rFonts w:ascii="Avenir" w:hAnsi="Avenir"/>
                <w:b w:val="0"/>
                <w:bCs w:val="0"/>
                <w:noProof/>
                <w:webHidden/>
                <w:sz w:val="15"/>
                <w:szCs w:val="15"/>
              </w:rPr>
              <w:tab/>
              <w:fldChar w:fldCharType="begin"/>
              <w:instrText xml:space="preserve"> PAGEREF _Toc235006534 \h </w:instrText>
              <w:fldChar w:fldCharType="separate"/>
              <w:t>8</w:t>
              <w:fldChar w:fldCharType="end"/>
            </w:r>
          </w:hyperlink>
        </w:p>
        <w:p w14:paraId="62AE7CFF" w14:textId="7B8C4B7C" w:rsidR="00D147DE" w:rsidRPr="009F6570" w:rsidRDefault="00D147DE">
          <w:pPr>
            <w:pStyle w:val="TOC2"/>
            <w:tabs>
              <w:tab w:val="right" w:leader="dot" w:pos="9016"/>
            </w:tabs>
            <w:rPr>
              <w:rFonts w:ascii="Avenir" w:hAnsi="Avenir"/>
              <w:b w:val="0"/>
              <w:bCs w:val="0"/>
              <w:noProof/>
              <w:sz w:val="15"/>
              <w:szCs w:val="15"/>
            </w:rPr>
          </w:pPr>
          <w:hyperlink w:anchor="_Toc235006535" w:history="1">
            <w:r>
              <w:rPr>
                <w:rStyle w:val="Hyperlink"/>
                <w:rFonts w:ascii="Avenir" w:hAnsi="Avenir"/>
                <w:b w:val="0"/>
                <w:bCs w:val="0"/>
                <w:noProof/>
                <w:sz w:val="15"/>
                <w:szCs w:val="15"/>
              </w:rPr>
              <w:t>Power Automate flows</w:t>
            </w:r>
            <w:r>
              <w:rPr>
                <w:rFonts w:ascii="Avenir" w:hAnsi="Avenir"/>
                <w:b w:val="0"/>
                <w:bCs w:val="0"/>
                <w:noProof/>
                <w:webHidden/>
                <w:sz w:val="15"/>
                <w:szCs w:val="15"/>
              </w:rPr>
              <w:tab/>
              <w:fldChar w:fldCharType="begin"/>
              <w:instrText xml:space="preserve"> PAGEREF _Toc235006535 \h </w:instrText>
              <w:fldChar w:fldCharType="separate"/>
              <w:t>8</w:t>
              <w:fldChar w:fldCharType="end"/>
            </w:r>
          </w:hyperlink>
        </w:p>
        <w:p w14:paraId="5AFE27A4" w14:textId="2FD185CF" w:rsidR="00D147DE" w:rsidRPr="009F6570" w:rsidRDefault="00D147DE">
          <w:pPr>
            <w:pStyle w:val="TOC2"/>
            <w:tabs>
              <w:tab w:val="right" w:leader="dot" w:pos="9016"/>
            </w:tabs>
            <w:rPr>
              <w:rFonts w:ascii="Avenir" w:hAnsi="Avenir"/>
              <w:b w:val="0"/>
              <w:bCs w:val="0"/>
              <w:noProof/>
              <w:sz w:val="15"/>
              <w:szCs w:val="15"/>
            </w:rPr>
          </w:pPr>
          <w:hyperlink w:anchor="_Toc235006536" w:history="1">
            <w:r>
              <w:rPr>
                <w:rStyle w:val="Hyperlink"/>
                <w:rFonts w:ascii="Avenir" w:hAnsi="Avenir"/>
                <w:b w:val="0"/>
                <w:bCs w:val="0"/>
                <w:noProof/>
                <w:sz w:val="15"/>
                <w:szCs w:val="15"/>
              </w:rPr>
              <w:t>Dataverse, connections and columns</w:t>
            </w:r>
            <w:r>
              <w:rPr>
                <w:rFonts w:ascii="Avenir" w:hAnsi="Avenir"/>
                <w:b w:val="0"/>
                <w:bCs w:val="0"/>
                <w:noProof/>
                <w:webHidden/>
                <w:sz w:val="15"/>
                <w:szCs w:val="15"/>
              </w:rPr>
              <w:tab/>
              <w:fldChar w:fldCharType="begin"/>
              <w:instrText xml:space="preserve"> PAGEREF _Toc235006536 \h </w:instrText>
              <w:fldChar w:fldCharType="separate"/>
              <w:t>8</w:t>
              <w:fldChar w:fldCharType="end"/>
            </w:r>
          </w:hyperlink>
        </w:p>
        <w:p w14:paraId="634392B9" w14:textId="73409C00" w:rsidR="00D147DE" w:rsidRPr="009F6570" w:rsidRDefault="00D147DE">
          <w:pPr>
            <w:pStyle w:val="TOC1"/>
            <w:tabs>
              <w:tab w:val="right" w:leader="dot" w:pos="9016"/>
            </w:tabs>
            <w:rPr>
              <w:rFonts w:ascii="Avenir" w:hAnsi="Avenir"/>
              <w:b w:val="0"/>
              <w:bCs w:val="0"/>
              <w:i w:val="0"/>
              <w:iCs w:val="0"/>
              <w:noProof/>
              <w:sz w:val="16"/>
              <w:szCs w:val="16"/>
            </w:rPr>
          </w:pPr>
          <w:hyperlink w:anchor="_Toc235006537" w:history="1">
            <w:r>
              <w:rPr>
                <w:rStyle w:val="Hyperlink"/>
                <w:rFonts w:ascii="Avenir" w:hAnsi="Avenir"/>
                <w:b w:val="0"/>
                <w:bCs w:val="0"/>
                <w:i w:val="0"/>
                <w:iCs w:val="0"/>
                <w:noProof/>
                <w:sz w:val="16"/>
                <w:szCs w:val="16"/>
              </w:rPr>
              <w:t>5. Component map</w:t>
            </w:r>
            <w:r>
              <w:rPr>
                <w:rFonts w:ascii="Avenir" w:hAnsi="Avenir"/>
                <w:b w:val="0"/>
                <w:bCs w:val="0"/>
                <w:i w:val="0"/>
                <w:iCs w:val="0"/>
                <w:noProof/>
                <w:webHidden/>
                <w:sz w:val="16"/>
                <w:szCs w:val="16"/>
              </w:rPr>
              <w:tab/>
              <w:fldChar w:fldCharType="begin"/>
              <w:instrText xml:space="preserve"> PAGEREF _Toc235006537 \h </w:instrText>
              <w:fldChar w:fldCharType="separate"/>
              <w:t>10</w:t>
              <w:fldChar w:fldCharType="end"/>
            </w:r>
          </w:hyperlink>
        </w:p>
        <w:p w14:paraId="32609C5F" w14:textId="6F4FD41B" w:rsidR="00D147DE" w:rsidRPr="009F6570" w:rsidRDefault="00D147DE">
          <w:pPr>
            <w:pStyle w:val="TOC2"/>
            <w:tabs>
              <w:tab w:val="right" w:leader="dot" w:pos="9016"/>
            </w:tabs>
            <w:rPr>
              <w:rFonts w:ascii="Avenir" w:hAnsi="Avenir"/>
              <w:b w:val="0"/>
              <w:bCs w:val="0"/>
              <w:noProof/>
              <w:sz w:val="15"/>
              <w:szCs w:val="15"/>
            </w:rPr>
          </w:pPr>
          <w:hyperlink w:anchor="_Toc235006538" w:history="1">
            <w:r>
              <w:rPr>
                <w:rStyle w:val="Hyperlink"/>
                <w:rFonts w:ascii="Avenir" w:hAnsi="Avenir"/>
                <w:b w:val="0"/>
                <w:bCs w:val="0"/>
                <w:noProof/>
                <w:sz w:val="15"/>
                <w:szCs w:val="15"/>
              </w:rPr>
              <w:t>Data components (Dataverse)</w:t>
            </w:r>
            <w:r>
              <w:rPr>
                <w:rFonts w:ascii="Avenir" w:hAnsi="Avenir"/>
                <w:b w:val="0"/>
                <w:bCs w:val="0"/>
                <w:noProof/>
                <w:webHidden/>
                <w:sz w:val="15"/>
                <w:szCs w:val="15"/>
              </w:rPr>
              <w:tab/>
              <w:fldChar w:fldCharType="begin"/>
              <w:instrText xml:space="preserve"> PAGEREF _Toc235006538 \h </w:instrText>
              <w:fldChar w:fldCharType="separate"/>
              <w:t>10</w:t>
              <w:fldChar w:fldCharType="end"/>
            </w:r>
          </w:hyperlink>
        </w:p>
        <w:p w14:paraId="3F5BC832" w14:textId="78777D6C" w:rsidR="00D147DE" w:rsidRPr="009F6570" w:rsidRDefault="00D147DE">
          <w:pPr>
            <w:pStyle w:val="TOC2"/>
            <w:tabs>
              <w:tab w:val="right" w:leader="dot" w:pos="9016"/>
            </w:tabs>
            <w:rPr>
              <w:rFonts w:ascii="Avenir" w:hAnsi="Avenir"/>
              <w:b w:val="0"/>
              <w:bCs w:val="0"/>
              <w:noProof/>
              <w:sz w:val="15"/>
              <w:szCs w:val="15"/>
            </w:rPr>
          </w:pPr>
          <w:hyperlink w:anchor="_Toc235006539" w:history="1">
            <w:r>
              <w:rPr>
                <w:rStyle w:val="Hyperlink"/>
                <w:rFonts w:ascii="Avenir" w:hAnsi="Avenir"/>
                <w:b w:val="0"/>
                <w:bCs w:val="0"/>
                <w:noProof/>
                <w:sz w:val="15"/>
                <w:szCs w:val="15"/>
              </w:rPr>
              <w:t>Orchestration components (Power Automate)</w:t>
            </w:r>
            <w:r>
              <w:rPr>
                <w:rFonts w:ascii="Avenir" w:hAnsi="Avenir"/>
                <w:b w:val="0"/>
                <w:bCs w:val="0"/>
                <w:noProof/>
                <w:webHidden/>
                <w:sz w:val="15"/>
                <w:szCs w:val="15"/>
              </w:rPr>
              <w:tab/>
              <w:fldChar w:fldCharType="begin"/>
              <w:instrText xml:space="preserve"> PAGEREF _Toc235006539 \h </w:instrText>
              <w:fldChar w:fldCharType="separate"/>
              <w:t>10</w:t>
              <w:fldChar w:fldCharType="end"/>
            </w:r>
          </w:hyperlink>
        </w:p>
        <w:p w14:paraId="3F1BFE48" w14:textId="5ADCE612" w:rsidR="00D147DE" w:rsidRPr="009F6570" w:rsidRDefault="00D147DE">
          <w:pPr>
            <w:pStyle w:val="TOC2"/>
            <w:tabs>
              <w:tab w:val="right" w:leader="dot" w:pos="9016"/>
            </w:tabs>
            <w:rPr>
              <w:rFonts w:ascii="Avenir" w:hAnsi="Avenir"/>
              <w:b w:val="0"/>
              <w:bCs w:val="0"/>
              <w:noProof/>
              <w:sz w:val="15"/>
              <w:szCs w:val="15"/>
            </w:rPr>
          </w:pPr>
          <w:hyperlink w:anchor="_Toc235006540" w:history="1">
            <w:r>
              <w:rPr>
                <w:rStyle w:val="Hyperlink"/>
                <w:rFonts w:ascii="Avenir" w:hAnsi="Avenir"/>
                <w:b w:val="0"/>
                <w:bCs w:val="0"/>
                <w:noProof/>
                <w:sz w:val="15"/>
                <w:szCs w:val="15"/>
              </w:rPr>
              <w:t>Experience &amp; intelligence components</w:t>
            </w:r>
            <w:r>
              <w:rPr>
                <w:rFonts w:ascii="Avenir" w:hAnsi="Avenir"/>
                <w:b w:val="0"/>
                <w:bCs w:val="0"/>
                <w:noProof/>
                <w:webHidden/>
                <w:sz w:val="15"/>
                <w:szCs w:val="15"/>
              </w:rPr>
              <w:tab/>
              <w:fldChar w:fldCharType="begin"/>
              <w:instrText xml:space="preserve"> PAGEREF _Toc235006540 \h </w:instrText>
              <w:fldChar w:fldCharType="separate"/>
              <w:t>10</w:t>
              <w:fldChar w:fldCharType="end"/>
            </w:r>
          </w:hyperlink>
        </w:p>
        <w:p w14:paraId="2FF6DB03" w14:textId="4A48790D" w:rsidR="00D147DE" w:rsidRPr="009F6570" w:rsidRDefault="00D147DE">
          <w:pPr>
            <w:pStyle w:val="TOC2"/>
            <w:tabs>
              <w:tab w:val="right" w:leader="dot" w:pos="9016"/>
            </w:tabs>
            <w:rPr>
              <w:rFonts w:ascii="Avenir" w:hAnsi="Avenir"/>
              <w:b w:val="0"/>
              <w:bCs w:val="0"/>
              <w:noProof/>
              <w:sz w:val="15"/>
              <w:szCs w:val="15"/>
            </w:rPr>
          </w:pPr>
          <w:hyperlink w:anchor="_Toc235006541" w:history="1">
            <w:r>
              <w:rPr>
                <w:rStyle w:val="Hyperlink"/>
                <w:rFonts w:ascii="Avenir" w:hAnsi="Avenir"/>
                <w:b w:val="0"/>
                <w:bCs w:val="0"/>
                <w:noProof/>
                <w:sz w:val="15"/>
                <w:szCs w:val="15"/>
              </w:rPr>
              <w:t>Governance components</w:t>
            </w:r>
            <w:r>
              <w:rPr>
                <w:rFonts w:ascii="Avenir" w:hAnsi="Avenir"/>
                <w:b w:val="0"/>
                <w:bCs w:val="0"/>
                <w:noProof/>
                <w:webHidden/>
                <w:sz w:val="15"/>
                <w:szCs w:val="15"/>
              </w:rPr>
              <w:tab/>
              <w:fldChar w:fldCharType="begin"/>
              <w:instrText xml:space="preserve"> PAGEREF _Toc235006541 \h </w:instrText>
              <w:fldChar w:fldCharType="separate"/>
              <w:t>11</w:t>
              <w:fldChar w:fldCharType="end"/>
            </w:r>
          </w:hyperlink>
        </w:p>
        <w:p w14:paraId="2C3CC72D" w14:textId="3C8528CE" w:rsidR="00D147DE" w:rsidRPr="009F6570" w:rsidRDefault="00D147DE">
          <w:pPr>
            <w:pStyle w:val="TOC1"/>
            <w:tabs>
              <w:tab w:val="right" w:leader="dot" w:pos="9016"/>
            </w:tabs>
            <w:rPr>
              <w:rFonts w:ascii="Avenir" w:hAnsi="Avenir"/>
              <w:b w:val="0"/>
              <w:bCs w:val="0"/>
              <w:i w:val="0"/>
              <w:iCs w:val="0"/>
              <w:noProof/>
              <w:sz w:val="16"/>
              <w:szCs w:val="16"/>
            </w:rPr>
          </w:pPr>
          <w:hyperlink w:anchor="_Toc235006542" w:history="1">
            <w:r>
              <w:rPr>
                <w:rStyle w:val="Hyperlink"/>
                <w:rFonts w:ascii="Avenir" w:hAnsi="Avenir"/>
                <w:b w:val="0"/>
                <w:bCs w:val="0"/>
                <w:i w:val="0"/>
                <w:iCs w:val="0"/>
                <w:noProof/>
                <w:sz w:val="16"/>
                <w:szCs w:val="16"/>
              </w:rPr>
              <w:t>6. Integration architecture</w:t>
            </w:r>
            <w:r>
              <w:rPr>
                <w:rFonts w:ascii="Avenir" w:hAnsi="Avenir"/>
                <w:b w:val="0"/>
                <w:bCs w:val="0"/>
                <w:i w:val="0"/>
                <w:iCs w:val="0"/>
                <w:noProof/>
                <w:webHidden/>
                <w:sz w:val="16"/>
                <w:szCs w:val="16"/>
              </w:rPr>
              <w:tab/>
              <w:fldChar w:fldCharType="begin"/>
              <w:instrText xml:space="preserve"> PAGEREF _Toc235006542 \h </w:instrText>
              <w:fldChar w:fldCharType="separate"/>
              <w:t>12</w:t>
              <w:fldChar w:fldCharType="end"/>
            </w:r>
          </w:hyperlink>
        </w:p>
        <w:p w14:paraId="32B1CEF5" w14:textId="21676A4A" w:rsidR="00D147DE" w:rsidRPr="009F6570" w:rsidRDefault="00D147DE">
          <w:pPr>
            <w:pStyle w:val="TOC2"/>
            <w:tabs>
              <w:tab w:val="right" w:leader="dot" w:pos="9016"/>
            </w:tabs>
            <w:rPr>
              <w:rFonts w:ascii="Avenir" w:hAnsi="Avenir"/>
              <w:b w:val="0"/>
              <w:bCs w:val="0"/>
              <w:noProof/>
              <w:sz w:val="15"/>
              <w:szCs w:val="15"/>
            </w:rPr>
          </w:pPr>
          <w:hyperlink w:anchor="_Toc235006543" w:history="1">
            <w:r>
              <w:rPr>
                <w:rStyle w:val="Hyperlink"/>
                <w:rFonts w:ascii="Avenir" w:hAnsi="Avenir"/>
                <w:b w:val="0"/>
                <w:bCs w:val="0"/>
                <w:noProof/>
                <w:sz w:val="15"/>
                <w:szCs w:val="15"/>
              </w:rPr>
              <w:t>End-to-end data flow</w:t>
            </w:r>
            <w:r>
              <w:rPr>
                <w:rFonts w:ascii="Avenir" w:hAnsi="Avenir"/>
                <w:b w:val="0"/>
                <w:bCs w:val="0"/>
                <w:noProof/>
                <w:webHidden/>
                <w:sz w:val="15"/>
                <w:szCs w:val="15"/>
              </w:rPr>
              <w:tab/>
              <w:fldChar w:fldCharType="begin"/>
              <w:instrText xml:space="preserve"> PAGEREF _Toc235006543 \h </w:instrText>
              <w:fldChar w:fldCharType="separate"/>
              <w:t>12</w:t>
              <w:fldChar w:fldCharType="end"/>
            </w:r>
          </w:hyperlink>
        </w:p>
        <w:p w14:paraId="6A5D5D06" w14:textId="28932487" w:rsidR="00D147DE" w:rsidRPr="009F6570" w:rsidRDefault="00D147DE">
          <w:pPr>
            <w:pStyle w:val="TOC2"/>
            <w:tabs>
              <w:tab w:val="right" w:leader="dot" w:pos="9016"/>
            </w:tabs>
            <w:rPr>
              <w:rFonts w:ascii="Avenir" w:hAnsi="Avenir"/>
              <w:b w:val="0"/>
              <w:bCs w:val="0"/>
              <w:noProof/>
              <w:sz w:val="15"/>
              <w:szCs w:val="15"/>
            </w:rPr>
          </w:pPr>
          <w:hyperlink w:anchor="_Toc235006544" w:history="1">
            <w:r>
              <w:rPr>
                <w:rStyle w:val="Hyperlink"/>
                <w:rFonts w:ascii="Avenir" w:hAnsi="Avenir"/>
                <w:b w:val="0"/>
                <w:bCs w:val="0"/>
                <w:noProof/>
                <w:sz w:val="15"/>
                <w:szCs w:val="15"/>
              </w:rPr>
              <w:t>Integration principles</w:t>
            </w:r>
            <w:r>
              <w:rPr>
                <w:rFonts w:ascii="Avenir" w:hAnsi="Avenir"/>
                <w:b w:val="0"/>
                <w:bCs w:val="0"/>
                <w:noProof/>
                <w:webHidden/>
                <w:sz w:val="15"/>
                <w:szCs w:val="15"/>
              </w:rPr>
              <w:tab/>
              <w:fldChar w:fldCharType="begin"/>
              <w:instrText xml:space="preserve"> PAGEREF _Toc235006544 \h </w:instrText>
              <w:fldChar w:fldCharType="separate"/>
              <w:t>12</w:t>
              <w:fldChar w:fldCharType="end"/>
            </w:r>
          </w:hyperlink>
        </w:p>
        <w:p w14:paraId="1AC6AF16" w14:textId="383218AE" w:rsidR="00D147DE" w:rsidRPr="009F6570" w:rsidRDefault="00D147DE">
          <w:pPr>
            <w:pStyle w:val="TOC1"/>
            <w:tabs>
              <w:tab w:val="right" w:leader="dot" w:pos="9016"/>
            </w:tabs>
            <w:rPr>
              <w:rFonts w:ascii="Avenir" w:hAnsi="Avenir"/>
              <w:b w:val="0"/>
              <w:bCs w:val="0"/>
              <w:i w:val="0"/>
              <w:iCs w:val="0"/>
              <w:noProof/>
              <w:sz w:val="16"/>
              <w:szCs w:val="16"/>
            </w:rPr>
          </w:pPr>
          <w:hyperlink w:anchor="_Toc235006545" w:history="1">
            <w:r>
              <w:rPr>
                <w:rStyle w:val="Hyperlink"/>
                <w:rFonts w:ascii="Avenir" w:hAnsi="Avenir"/>
                <w:b w:val="0"/>
                <w:bCs w:val="0"/>
                <w:i w:val="0"/>
                <w:iCs w:val="0"/>
                <w:noProof/>
                <w:sz w:val="16"/>
                <w:szCs w:val="16"/>
              </w:rPr>
              <w:t>7. Solution packaging and ALM strategy</w:t>
            </w:r>
            <w:r>
              <w:rPr>
                <w:rFonts w:ascii="Avenir" w:hAnsi="Avenir"/>
                <w:b w:val="0"/>
                <w:bCs w:val="0"/>
                <w:i w:val="0"/>
                <w:iCs w:val="0"/>
                <w:noProof/>
                <w:webHidden/>
                <w:sz w:val="16"/>
                <w:szCs w:val="16"/>
              </w:rPr>
              <w:tab/>
              <w:fldChar w:fldCharType="begin"/>
              <w:instrText xml:space="preserve"> PAGEREF _Toc235006545 \h </w:instrText>
              <w:fldChar w:fldCharType="separate"/>
              <w:t>14</w:t>
              <w:fldChar w:fldCharType="end"/>
            </w:r>
          </w:hyperlink>
        </w:p>
        <w:p w14:paraId="533794CA" w14:textId="40EF6698" w:rsidR="00D147DE" w:rsidRPr="009F6570" w:rsidRDefault="00D147DE">
          <w:pPr>
            <w:pStyle w:val="TOC2"/>
            <w:tabs>
              <w:tab w:val="right" w:leader="dot" w:pos="9016"/>
            </w:tabs>
            <w:rPr>
              <w:rFonts w:ascii="Avenir" w:hAnsi="Avenir"/>
              <w:b w:val="0"/>
              <w:bCs w:val="0"/>
              <w:noProof/>
              <w:sz w:val="15"/>
              <w:szCs w:val="15"/>
            </w:rPr>
          </w:pPr>
          <w:hyperlink w:anchor="_Toc235006546" w:history="1">
            <w:r>
              <w:rPr>
                <w:rStyle w:val="Hyperlink"/>
                <w:rFonts w:ascii="Avenir" w:hAnsi="Avenir"/>
                <w:b w:val="0"/>
                <w:bCs w:val="0"/>
                <w:noProof/>
                <w:sz w:val="15"/>
                <w:szCs w:val="15"/>
              </w:rPr>
              <w:t>Packaging model</w:t>
            </w:r>
            <w:r>
              <w:rPr>
                <w:rFonts w:ascii="Avenir" w:hAnsi="Avenir"/>
                <w:b w:val="0"/>
                <w:bCs w:val="0"/>
                <w:noProof/>
                <w:webHidden/>
                <w:sz w:val="15"/>
                <w:szCs w:val="15"/>
              </w:rPr>
              <w:tab/>
              <w:fldChar w:fldCharType="begin"/>
              <w:instrText xml:space="preserve"> PAGEREF _Toc235006546 \h </w:instrText>
              <w:fldChar w:fldCharType="separate"/>
              <w:t>14</w:t>
              <w:fldChar w:fldCharType="end"/>
            </w:r>
          </w:hyperlink>
        </w:p>
        <w:p w14:paraId="1653F342" w14:textId="16C3D1C2" w:rsidR="00D147DE" w:rsidRPr="009F6570" w:rsidRDefault="00D147DE">
          <w:pPr>
            <w:pStyle w:val="TOC2"/>
            <w:tabs>
              <w:tab w:val="right" w:leader="dot" w:pos="9016"/>
            </w:tabs>
            <w:rPr>
              <w:rFonts w:ascii="Avenir" w:hAnsi="Avenir"/>
              <w:b w:val="0"/>
              <w:bCs w:val="0"/>
              <w:noProof/>
              <w:sz w:val="15"/>
              <w:szCs w:val="15"/>
            </w:rPr>
          </w:pPr>
          <w:hyperlink w:anchor="_Toc235006547" w:history="1">
            <w:r>
              <w:rPr>
                <w:rStyle w:val="Hyperlink"/>
                <w:rFonts w:ascii="Avenir" w:hAnsi="Avenir"/>
                <w:b w:val="0"/>
                <w:bCs w:val="0"/>
                <w:noProof/>
                <w:sz w:val="15"/>
                <w:szCs w:val="15"/>
              </w:rPr>
              <w:t xml:space="preserve">Dev </w:t>
            </w:r>
            <w:r>
              <w:rPr>
                <w:rStyle w:val="Hyperlink"/>
                <w:rFonts w:ascii="Arial" w:hAnsi="Arial"/>
                <w:b w:val="0"/>
                <w:bCs w:val="0"/>
                <w:noProof/>
                <w:sz w:val="15"/>
                <w:szCs w:val="15"/>
              </w:rPr>
              <w:t>→</w:t>
            </w:r>
            <w:r>
              <w:rPr>
                <w:rStyle w:val="Hyperlink"/>
                <w:rFonts w:ascii="Avenir" w:hAnsi="Avenir"/>
                <w:b w:val="0"/>
                <w:bCs w:val="0"/>
                <w:noProof/>
                <w:sz w:val="15"/>
                <w:szCs w:val="15"/>
              </w:rPr>
              <w:t xml:space="preserve"> Prod promotion</w:t>
            </w:r>
            <w:r>
              <w:rPr>
                <w:rFonts w:ascii="Avenir" w:hAnsi="Avenir"/>
                <w:b w:val="0"/>
                <w:bCs w:val="0"/>
                <w:noProof/>
                <w:webHidden/>
                <w:sz w:val="15"/>
                <w:szCs w:val="15"/>
              </w:rPr>
              <w:tab/>
              <w:fldChar w:fldCharType="begin"/>
              <w:instrText xml:space="preserve"> PAGEREF _Toc235006547 \h </w:instrText>
              <w:fldChar w:fldCharType="separate"/>
              <w:t>14</w:t>
              <w:fldChar w:fldCharType="end"/>
            </w:r>
          </w:hyperlink>
        </w:p>
        <w:p w14:paraId="2DA7F7B4" w14:textId="10E0DBB0" w:rsidR="00D147DE" w:rsidRPr="009F6570" w:rsidRDefault="00D147DE">
          <w:pPr>
            <w:pStyle w:val="TOC2"/>
            <w:tabs>
              <w:tab w:val="right" w:leader="dot" w:pos="9016"/>
            </w:tabs>
            <w:rPr>
              <w:rFonts w:ascii="Avenir" w:hAnsi="Avenir"/>
              <w:b w:val="0"/>
              <w:bCs w:val="0"/>
              <w:noProof/>
              <w:sz w:val="15"/>
              <w:szCs w:val="15"/>
            </w:rPr>
          </w:pPr>
          <w:hyperlink w:anchor="_Toc235006548" w:history="1">
            <w:r>
              <w:rPr>
                <w:rStyle w:val="Hyperlink"/>
                <w:rFonts w:ascii="Avenir" w:hAnsi="Avenir"/>
                <w:b w:val="0"/>
                <w:bCs w:val="0"/>
                <w:noProof/>
                <w:sz w:val="15"/>
                <w:szCs w:val="15"/>
              </w:rPr>
              <w:t>Versioning and source control</w:t>
            </w:r>
            <w:r>
              <w:rPr>
                <w:rFonts w:ascii="Avenir" w:hAnsi="Avenir"/>
                <w:b w:val="0"/>
                <w:bCs w:val="0"/>
                <w:noProof/>
                <w:webHidden/>
                <w:sz w:val="15"/>
                <w:szCs w:val="15"/>
              </w:rPr>
              <w:tab/>
              <w:fldChar w:fldCharType="begin"/>
              <w:instrText xml:space="preserve"> PAGEREF _Toc235006548 \h </w:instrText>
              <w:fldChar w:fldCharType="separate"/>
              <w:t>14</w:t>
              <w:fldChar w:fldCharType="end"/>
            </w:r>
          </w:hyperlink>
        </w:p>
        <w:p w14:paraId="1FD68E3B" w14:textId="6FCB269A" w:rsidR="00D147DE" w:rsidRPr="009F6570" w:rsidRDefault="00D147DE">
          <w:pPr>
            <w:pStyle w:val="TOC2"/>
            <w:tabs>
              <w:tab w:val="right" w:leader="dot" w:pos="9016"/>
            </w:tabs>
            <w:rPr>
              <w:rFonts w:ascii="Avenir" w:hAnsi="Avenir"/>
              <w:b w:val="0"/>
              <w:bCs w:val="0"/>
              <w:noProof/>
              <w:sz w:val="15"/>
              <w:szCs w:val="15"/>
            </w:rPr>
          </w:pPr>
          <w:hyperlink w:anchor="_Toc235006549" w:history="1">
            <w:r>
              <w:rPr>
                <w:rStyle w:val="Hyperlink"/>
                <w:rFonts w:ascii="Avenir" w:hAnsi="Avenir"/>
                <w:b w:val="0"/>
                <w:bCs w:val="0"/>
                <w:noProof/>
                <w:sz w:val="15"/>
                <w:szCs w:val="15"/>
              </w:rPr>
              <w:t>Rollback</w:t>
            </w:r>
            <w:r>
              <w:rPr>
                <w:rFonts w:ascii="Avenir" w:hAnsi="Avenir"/>
                <w:b w:val="0"/>
                <w:bCs w:val="0"/>
                <w:noProof/>
                <w:webHidden/>
                <w:sz w:val="15"/>
                <w:szCs w:val="15"/>
              </w:rPr>
              <w:tab/>
              <w:fldChar w:fldCharType="begin"/>
              <w:instrText xml:space="preserve"> PAGEREF _Toc235006549 \h </w:instrText>
              <w:fldChar w:fldCharType="separate"/>
              <w:t>14</w:t>
              <w:fldChar w:fldCharType="end"/>
            </w:r>
          </w:hyperlink>
        </w:p>
        <w:p w14:paraId="051B3F1C" w14:textId="6E6115CA" w:rsidR="00D147DE" w:rsidRPr="009F6570" w:rsidRDefault="00D147DE">
          <w:pPr>
            <w:pStyle w:val="TOC1"/>
            <w:tabs>
              <w:tab w:val="right" w:leader="dot" w:pos="9016"/>
            </w:tabs>
            <w:rPr>
              <w:rFonts w:ascii="Avenir" w:hAnsi="Avenir"/>
              <w:b w:val="0"/>
              <w:bCs w:val="0"/>
              <w:i w:val="0"/>
              <w:iCs w:val="0"/>
              <w:noProof/>
              <w:sz w:val="16"/>
              <w:szCs w:val="16"/>
            </w:rPr>
          </w:pPr>
          <w:hyperlink w:anchor="_Toc235006550" w:history="1">
            <w:r>
              <w:rPr>
                <w:rStyle w:val="Hyperlink"/>
                <w:rFonts w:ascii="Avenir" w:hAnsi="Avenir"/>
                <w:b w:val="0"/>
                <w:bCs w:val="0"/>
                <w:i w:val="0"/>
                <w:iCs w:val="0"/>
                <w:noProof/>
                <w:sz w:val="16"/>
                <w:szCs w:val="16"/>
              </w:rPr>
              <w:t>8. Data retention and deletion</w:t>
            </w:r>
            <w:r>
              <w:rPr>
                <w:rFonts w:ascii="Avenir" w:hAnsi="Avenir"/>
                <w:b w:val="0"/>
                <w:bCs w:val="0"/>
                <w:i w:val="0"/>
                <w:iCs w:val="0"/>
                <w:noProof/>
                <w:webHidden/>
                <w:sz w:val="16"/>
                <w:szCs w:val="16"/>
              </w:rPr>
              <w:tab/>
              <w:fldChar w:fldCharType="begin"/>
              <w:instrText xml:space="preserve"> PAGEREF _Toc235006550 \h </w:instrText>
              <w:fldChar w:fldCharType="separate"/>
              <w:t>16</w:t>
              <w:fldChar w:fldCharType="end"/>
            </w:r>
          </w:hyperlink>
        </w:p>
        <w:p w14:paraId="0150C834" w14:textId="663E8C66" w:rsidR="00D147DE" w:rsidRPr="009F6570" w:rsidRDefault="00D147DE">
          <w:pPr>
            <w:pStyle w:val="TOC2"/>
            <w:tabs>
              <w:tab w:val="right" w:leader="dot" w:pos="9016"/>
            </w:tabs>
            <w:rPr>
              <w:rFonts w:ascii="Avenir" w:hAnsi="Avenir"/>
              <w:b w:val="0"/>
              <w:bCs w:val="0"/>
              <w:noProof/>
              <w:sz w:val="15"/>
              <w:szCs w:val="15"/>
            </w:rPr>
          </w:pPr>
          <w:hyperlink w:anchor="_Toc235006551" w:history="1">
            <w:r>
              <w:rPr>
                <w:rStyle w:val="Hyperlink"/>
                <w:rFonts w:ascii="Avenir" w:hAnsi="Avenir"/>
                <w:b w:val="0"/>
                <w:bCs w:val="0"/>
                <w:noProof/>
                <w:sz w:val="15"/>
                <w:szCs w:val="15"/>
              </w:rPr>
              <w:t>Retention schedule (as implemented)</w:t>
            </w:r>
            <w:r>
              <w:rPr>
                <w:rFonts w:ascii="Avenir" w:hAnsi="Avenir"/>
                <w:b w:val="0"/>
                <w:bCs w:val="0"/>
                <w:noProof/>
                <w:webHidden/>
                <w:sz w:val="15"/>
                <w:szCs w:val="15"/>
              </w:rPr>
              <w:tab/>
              <w:fldChar w:fldCharType="begin"/>
              <w:instrText xml:space="preserve"> PAGEREF _Toc235006551 \h </w:instrText>
              <w:fldChar w:fldCharType="separate"/>
              <w:t>16</w:t>
              <w:fldChar w:fldCharType="end"/>
            </w:r>
          </w:hyperlink>
        </w:p>
        <w:p w14:paraId="131D1AC1" w14:textId="0AB1BFF1" w:rsidR="00D147DE" w:rsidRPr="009F6570" w:rsidRDefault="00D147DE">
          <w:pPr>
            <w:pStyle w:val="TOC2"/>
            <w:tabs>
              <w:tab w:val="right" w:leader="dot" w:pos="9016"/>
            </w:tabs>
            <w:rPr>
              <w:rFonts w:ascii="Avenir" w:hAnsi="Avenir"/>
              <w:b w:val="0"/>
              <w:bCs w:val="0"/>
              <w:noProof/>
              <w:sz w:val="15"/>
              <w:szCs w:val="15"/>
            </w:rPr>
          </w:pPr>
          <w:hyperlink w:anchor="_Toc235006552" w:history="1">
            <w:r>
              <w:rPr>
                <w:rStyle w:val="Hyperlink"/>
                <w:rFonts w:ascii="Avenir" w:hAnsi="Avenir"/>
                <w:b w:val="0"/>
                <w:bCs w:val="0"/>
                <w:noProof/>
                <w:sz w:val="15"/>
                <w:szCs w:val="15"/>
              </w:rPr>
              <w:t>How deletion is enforced</w:t>
            </w:r>
            <w:r>
              <w:rPr>
                <w:rFonts w:ascii="Avenir" w:hAnsi="Avenir"/>
                <w:b w:val="0"/>
                <w:bCs w:val="0"/>
                <w:noProof/>
                <w:webHidden/>
                <w:sz w:val="15"/>
                <w:szCs w:val="15"/>
              </w:rPr>
              <w:tab/>
              <w:fldChar w:fldCharType="begin"/>
              <w:instrText xml:space="preserve"> PAGEREF _Toc235006552 \h </w:instrText>
              <w:fldChar w:fldCharType="separate"/>
              <w:t>16</w:t>
              <w:fldChar w:fldCharType="end"/>
            </w:r>
          </w:hyperlink>
        </w:p>
        <w:p w14:paraId="5E9829DE" w14:textId="5EB1BC10" w:rsidR="00D147DE" w:rsidRPr="009F6570" w:rsidRDefault="00D147DE">
          <w:pPr>
            <w:pStyle w:val="TOC2"/>
            <w:tabs>
              <w:tab w:val="right" w:leader="dot" w:pos="9016"/>
            </w:tabs>
            <w:rPr>
              <w:rFonts w:ascii="Avenir" w:hAnsi="Avenir"/>
              <w:b w:val="0"/>
              <w:bCs w:val="0"/>
              <w:noProof/>
              <w:sz w:val="15"/>
              <w:szCs w:val="15"/>
            </w:rPr>
          </w:pPr>
          <w:hyperlink w:anchor="_Toc235006553" w:history="1">
            <w:r>
              <w:rPr>
                <w:rStyle w:val="Hyperlink"/>
                <w:rFonts w:ascii="Avenir" w:hAnsi="Avenir"/>
                <w:b w:val="0"/>
                <w:bCs w:val="0"/>
                <w:noProof/>
                <w:sz w:val="15"/>
                <w:szCs w:val="15"/>
              </w:rPr>
              <w:t>Pseudonymised versus anonymised data</w:t>
            </w:r>
            <w:r>
              <w:rPr>
                <w:rFonts w:ascii="Avenir" w:hAnsi="Avenir"/>
                <w:b w:val="0"/>
                <w:bCs w:val="0"/>
                <w:noProof/>
                <w:webHidden/>
                <w:sz w:val="15"/>
                <w:szCs w:val="15"/>
              </w:rPr>
              <w:tab/>
              <w:fldChar w:fldCharType="begin"/>
              <w:instrText xml:space="preserve"> PAGEREF _Toc235006553 \h </w:instrText>
              <w:fldChar w:fldCharType="separate"/>
              <w:t>17</w:t>
              <w:fldChar w:fldCharType="end"/>
            </w:r>
          </w:hyperlink>
        </w:p>
        <w:p w14:paraId="0E8B0121" w14:textId="0A1A238E" w:rsidR="00D147DE" w:rsidRPr="009F6570" w:rsidRDefault="00D147DE">
          <w:pPr>
            <w:pStyle w:val="TOC2"/>
            <w:tabs>
              <w:tab w:val="right" w:leader="dot" w:pos="9016"/>
            </w:tabs>
            <w:rPr>
              <w:rFonts w:ascii="Avenir" w:hAnsi="Avenir"/>
              <w:b w:val="0"/>
              <w:bCs w:val="0"/>
              <w:noProof/>
              <w:sz w:val="15"/>
              <w:szCs w:val="15"/>
            </w:rPr>
          </w:pPr>
          <w:hyperlink w:anchor="_Toc235006554" w:history="1">
            <w:r>
              <w:rPr>
                <w:rStyle w:val="Hyperlink"/>
                <w:rFonts w:ascii="Avenir" w:hAnsi="Avenir"/>
                <w:b w:val="0"/>
                <w:bCs w:val="0"/>
                <w:noProof/>
                <w:sz w:val="15"/>
                <w:szCs w:val="15"/>
              </w:rPr>
              <w:t>Right to erasure</w:t>
            </w:r>
            <w:r>
              <w:rPr>
                <w:rFonts w:ascii="Avenir" w:hAnsi="Avenir"/>
                <w:b w:val="0"/>
                <w:bCs w:val="0"/>
                <w:noProof/>
                <w:webHidden/>
                <w:sz w:val="15"/>
                <w:szCs w:val="15"/>
              </w:rPr>
              <w:tab/>
              <w:fldChar w:fldCharType="begin"/>
              <w:instrText xml:space="preserve"> PAGEREF _Toc235006554 \h </w:instrText>
              <w:fldChar w:fldCharType="separate"/>
              <w:t>17</w:t>
              <w:fldChar w:fldCharType="end"/>
            </w:r>
          </w:hyperlink>
        </w:p>
        <w:p w14:paraId="05B71832" w14:textId="5C335CE2" w:rsidR="00D147DE" w:rsidRPr="009F6570" w:rsidRDefault="00D147DE">
          <w:pPr>
            <w:pStyle w:val="TOC2"/>
            <w:tabs>
              <w:tab w:val="right" w:leader="dot" w:pos="9016"/>
            </w:tabs>
            <w:rPr>
              <w:rFonts w:ascii="Avenir" w:hAnsi="Avenir"/>
              <w:b w:val="0"/>
              <w:bCs w:val="0"/>
              <w:noProof/>
              <w:sz w:val="15"/>
              <w:szCs w:val="15"/>
            </w:rPr>
          </w:pPr>
          <w:hyperlink w:anchor="_Toc235006555" w:history="1">
            <w:r>
              <w:rPr>
                <w:rStyle w:val="Hyperlink"/>
                <w:rFonts w:ascii="Avenir" w:hAnsi="Avenir"/>
                <w:b w:val="0"/>
                <w:bCs w:val="0"/>
                <w:noProof/>
                <w:sz w:val="15"/>
                <w:szCs w:val="15"/>
              </w:rPr>
              <w:t>Compliance guardrails built into the design</w:t>
            </w:r>
            <w:r>
              <w:rPr>
                <w:rFonts w:ascii="Avenir" w:hAnsi="Avenir"/>
                <w:b w:val="0"/>
                <w:bCs w:val="0"/>
                <w:noProof/>
                <w:webHidden/>
                <w:sz w:val="15"/>
                <w:szCs w:val="15"/>
              </w:rPr>
              <w:tab/>
              <w:fldChar w:fldCharType="begin"/>
              <w:instrText xml:space="preserve"> PAGEREF _Toc235006555 \h </w:instrText>
              <w:fldChar w:fldCharType="separate"/>
              <w:t>17</w:t>
              <w:fldChar w:fldCharType="end"/>
            </w:r>
          </w:hyperlink>
        </w:p>
        <w:p w14:paraId="5C27FB65" w14:textId="60F3DF4B" w:rsidR="00D147DE" w:rsidRPr="009F6570" w:rsidRDefault="00D147DE">
          <w:pPr>
            <w:pStyle w:val="TOC1"/>
            <w:tabs>
              <w:tab w:val="right" w:leader="dot" w:pos="9016"/>
            </w:tabs>
            <w:rPr>
              <w:rFonts w:ascii="Avenir" w:hAnsi="Avenir"/>
              <w:b w:val="0"/>
              <w:bCs w:val="0"/>
              <w:i w:val="0"/>
              <w:iCs w:val="0"/>
              <w:noProof/>
              <w:sz w:val="16"/>
              <w:szCs w:val="16"/>
            </w:rPr>
          </w:pPr>
          <w:hyperlink w:anchor="_Toc235006556" w:history="1">
            <w:r>
              <w:rPr>
                <w:rStyle w:val="Hyperlink"/>
                <w:rFonts w:ascii="Avenir" w:hAnsi="Avenir"/>
                <w:b w:val="0"/>
                <w:bCs w:val="0"/>
                <w:i w:val="0"/>
                <w:iCs w:val="0"/>
                <w:noProof/>
                <w:sz w:val="16"/>
                <w:szCs w:val="16"/>
              </w:rPr>
              <w:t>9. Licensing</w:t>
            </w:r>
            <w:r>
              <w:rPr>
                <w:rFonts w:ascii="Avenir" w:hAnsi="Avenir"/>
                <w:b w:val="0"/>
                <w:bCs w:val="0"/>
                <w:i w:val="0"/>
                <w:iCs w:val="0"/>
                <w:noProof/>
                <w:webHidden/>
                <w:sz w:val="16"/>
                <w:szCs w:val="16"/>
              </w:rPr>
              <w:tab/>
              <w:fldChar w:fldCharType="begin"/>
              <w:instrText xml:space="preserve"> PAGEREF _Toc235006556 \h </w:instrText>
              <w:fldChar w:fldCharType="separate"/>
              <w:t>19</w:t>
              <w:fldChar w:fldCharType="end"/>
            </w:r>
          </w:hyperlink>
        </w:p>
        <w:p w14:paraId="04E44B9B" w14:textId="161A8458" w:rsidR="00D147DE" w:rsidRPr="009F6570" w:rsidRDefault="00D147DE">
          <w:pPr>
            <w:pStyle w:val="TOC2"/>
            <w:tabs>
              <w:tab w:val="right" w:leader="dot" w:pos="9016"/>
            </w:tabs>
            <w:rPr>
              <w:rFonts w:ascii="Avenir" w:hAnsi="Avenir"/>
              <w:b w:val="0"/>
              <w:bCs w:val="0"/>
              <w:noProof/>
              <w:sz w:val="15"/>
              <w:szCs w:val="15"/>
            </w:rPr>
          </w:pPr>
          <w:hyperlink w:anchor="_Toc235006557" w:history="1">
            <w:r>
              <w:rPr>
                <w:rStyle w:val="Hyperlink"/>
                <w:rFonts w:ascii="Avenir" w:hAnsi="Avenir"/>
                <w:b w:val="0"/>
                <w:bCs w:val="0"/>
                <w:noProof/>
                <w:sz w:val="15"/>
                <w:szCs w:val="15"/>
              </w:rPr>
              <w:t>What Business Premium already covers</w:t>
            </w:r>
            <w:r>
              <w:rPr>
                <w:rFonts w:ascii="Avenir" w:hAnsi="Avenir"/>
                <w:b w:val="0"/>
                <w:bCs w:val="0"/>
                <w:noProof/>
                <w:webHidden/>
                <w:sz w:val="15"/>
                <w:szCs w:val="15"/>
              </w:rPr>
              <w:tab/>
              <w:fldChar w:fldCharType="begin"/>
              <w:instrText xml:space="preserve"> PAGEREF _Toc235006557 \h </w:instrText>
              <w:fldChar w:fldCharType="separate"/>
              <w:t>19</w:t>
              <w:fldChar w:fldCharType="end"/>
            </w:r>
          </w:hyperlink>
        </w:p>
        <w:p w14:paraId="45351ABA" w14:textId="357FE1F5" w:rsidR="00D147DE" w:rsidRPr="009F6570" w:rsidRDefault="00D147DE">
          <w:pPr>
            <w:pStyle w:val="TOC2"/>
            <w:tabs>
              <w:tab w:val="right" w:leader="dot" w:pos="9016"/>
            </w:tabs>
            <w:rPr>
              <w:rFonts w:ascii="Avenir" w:hAnsi="Avenir"/>
              <w:b w:val="0"/>
              <w:bCs w:val="0"/>
              <w:noProof/>
              <w:sz w:val="15"/>
              <w:szCs w:val="15"/>
            </w:rPr>
          </w:pPr>
          <w:hyperlink w:anchor="_Toc235006558" w:history="1">
            <w:r>
              <w:rPr>
                <w:rStyle w:val="Hyperlink"/>
                <w:rFonts w:ascii="Avenir" w:hAnsi="Avenir"/>
                <w:b w:val="0"/>
                <w:bCs w:val="0"/>
                <w:noProof/>
                <w:sz w:val="15"/>
                <w:szCs w:val="15"/>
              </w:rPr>
              <w:t>Licensing register</w:t>
            </w:r>
            <w:r>
              <w:rPr>
                <w:rFonts w:ascii="Avenir" w:hAnsi="Avenir"/>
                <w:b w:val="0"/>
                <w:bCs w:val="0"/>
                <w:noProof/>
                <w:webHidden/>
                <w:sz w:val="15"/>
                <w:szCs w:val="15"/>
              </w:rPr>
              <w:tab/>
              <w:fldChar w:fldCharType="begin"/>
              <w:instrText xml:space="preserve"> PAGEREF _Toc235006558 \h </w:instrText>
              <w:fldChar w:fldCharType="separate"/>
              <w:t>19</w:t>
              <w:fldChar w:fldCharType="end"/>
            </w:r>
          </w:hyperlink>
        </w:p>
        <w:p w14:paraId="214F2BDC" w14:textId="2063D108" w:rsidR="00D147DE" w:rsidRPr="009F6570" w:rsidRDefault="00D147DE">
          <w:pPr>
            <w:pStyle w:val="TOC2"/>
            <w:tabs>
              <w:tab w:val="right" w:leader="dot" w:pos="9016"/>
            </w:tabs>
            <w:rPr>
              <w:rFonts w:ascii="Avenir" w:hAnsi="Avenir"/>
              <w:b w:val="0"/>
              <w:bCs w:val="0"/>
              <w:noProof/>
              <w:sz w:val="15"/>
              <w:szCs w:val="15"/>
            </w:rPr>
          </w:pPr>
          <w:hyperlink w:anchor="_Toc235006559" w:history="1">
            <w:r>
              <w:rPr>
                <w:rStyle w:val="Hyperlink"/>
                <w:rFonts w:ascii="Avenir" w:hAnsi="Avenir"/>
                <w:b w:val="0"/>
                <w:bCs w:val="0"/>
                <w:noProof/>
                <w:sz w:val="15"/>
                <w:szCs w:val="15"/>
              </w:rPr>
              <w:t>Retention enforcement: the licensing choice</w:t>
            </w:r>
            <w:r>
              <w:rPr>
                <w:rFonts w:ascii="Avenir" w:hAnsi="Avenir"/>
                <w:b w:val="0"/>
                <w:bCs w:val="0"/>
                <w:noProof/>
                <w:webHidden/>
                <w:sz w:val="15"/>
                <w:szCs w:val="15"/>
              </w:rPr>
              <w:tab/>
              <w:fldChar w:fldCharType="begin"/>
              <w:instrText xml:space="preserve"> PAGEREF _Toc235006559 \h </w:instrText>
              <w:fldChar w:fldCharType="separate"/>
              <w:t>20</w:t>
              <w:fldChar w:fldCharType="end"/>
            </w:r>
          </w:hyperlink>
        </w:p>
        <w:p w14:paraId="75526C0A" w14:textId="11146474" w:rsidR="00D147DE" w:rsidRPr="009F6570" w:rsidRDefault="00D147DE">
          <w:pPr>
            <w:pStyle w:val="TOC1"/>
            <w:tabs>
              <w:tab w:val="right" w:leader="dot" w:pos="9016"/>
            </w:tabs>
            <w:rPr>
              <w:rFonts w:ascii="Avenir" w:hAnsi="Avenir"/>
              <w:b w:val="0"/>
              <w:bCs w:val="0"/>
              <w:i w:val="0"/>
              <w:iCs w:val="0"/>
              <w:noProof/>
              <w:sz w:val="16"/>
              <w:szCs w:val="16"/>
            </w:rPr>
          </w:pPr>
          <w:hyperlink w:anchor="_Toc235006560" w:history="1">
            <w:r>
              <w:rPr>
                <w:rStyle w:val="Hyperlink"/>
                <w:rFonts w:ascii="Avenir" w:hAnsi="Avenir"/>
                <w:b w:val="0"/>
                <w:bCs w:val="0"/>
                <w:i w:val="0"/>
                <w:iCs w:val="0"/>
                <w:noProof/>
                <w:sz w:val="16"/>
                <w:szCs w:val="16"/>
              </w:rPr>
              <w:t>10. Assumptions and dependencies</w:t>
            </w:r>
            <w:r>
              <w:rPr>
                <w:rFonts w:ascii="Avenir" w:hAnsi="Avenir"/>
                <w:b w:val="0"/>
                <w:bCs w:val="0"/>
                <w:i w:val="0"/>
                <w:iCs w:val="0"/>
                <w:noProof/>
                <w:webHidden/>
                <w:sz w:val="16"/>
                <w:szCs w:val="16"/>
              </w:rPr>
              <w:tab/>
              <w:fldChar w:fldCharType="begin"/>
              <w:instrText xml:space="preserve"> PAGEREF _Toc235006560 \h </w:instrText>
              <w:fldChar w:fldCharType="separate"/>
              <w:t>21</w:t>
              <w:fldChar w:fldCharType="end"/>
            </w:r>
          </w:hyperlink>
        </w:p>
        <w:p w14:paraId="7607A2A8" w14:textId="005CB4AF" w:rsidR="00D147DE" w:rsidRPr="009F6570" w:rsidRDefault="00D147DE">
          <w:pPr>
            <w:pStyle w:val="TOC1"/>
            <w:tabs>
              <w:tab w:val="right" w:leader="dot" w:pos="9016"/>
            </w:tabs>
            <w:rPr>
              <w:rFonts w:ascii="Avenir" w:hAnsi="Avenir"/>
              <w:b w:val="0"/>
              <w:bCs w:val="0"/>
              <w:i w:val="0"/>
              <w:iCs w:val="0"/>
              <w:noProof/>
              <w:sz w:val="16"/>
              <w:szCs w:val="16"/>
            </w:rPr>
          </w:pPr>
          <w:hyperlink w:anchor="_Toc235006561" w:history="1">
            <w:r>
              <w:rPr>
                <w:rStyle w:val="Hyperlink"/>
                <w:rFonts w:ascii="Avenir" w:hAnsi="Avenir"/>
                <w:b w:val="0"/>
                <w:bCs w:val="0"/>
                <w:i w:val="0"/>
                <w:iCs w:val="0"/>
                <w:noProof/>
                <w:sz w:val="16"/>
                <w:szCs w:val="16"/>
              </w:rPr>
              <w:t>11. Next steps</w:t>
            </w:r>
            <w:r>
              <w:rPr>
                <w:rFonts w:ascii="Avenir" w:hAnsi="Avenir"/>
                <w:b w:val="0"/>
                <w:bCs w:val="0"/>
                <w:i w:val="0"/>
                <w:iCs w:val="0"/>
                <w:noProof/>
                <w:webHidden/>
                <w:sz w:val="16"/>
                <w:szCs w:val="16"/>
              </w:rPr>
              <w:tab/>
              <w:fldChar w:fldCharType="begin"/>
              <w:instrText xml:space="preserve"> PAGEREF _Toc235006561 \h </w:instrText>
              <w:fldChar w:fldCharType="separate"/>
              <w:t>21</w:t>
              <w:fldChar w:fldCharType="end"/>
            </w:r>
          </w:hyperlink>
        </w:p>
        <w:p w14:paraId="6190B25B" w14:textId="7F8C58EA" w:rsidR="00D147DE" w:rsidRDefault="00D147DE">
          <w:r>
            <w:rPr>
              <w:rFonts w:ascii="Avenir" w:hAnsi="Avenir"/>
              <w:noProof/>
              <w:sz w:val="16"/>
              <w:szCs w:val="16"/>
            </w:rPr>
            <w:fldChar w:fldCharType="end"/>
          </w:r>
        </w:p>
      </w:sdtContent>
    </w:sdt>
    <w:p w14:paraId="3283D86B" w14:textId="77777777" w:rsidR="007F73D0" w:rsidRDefault="00000000">
      <w:pPr>
        <w:pStyle w:val="Heading1"/>
      </w:pPr>
      <w:bookmarkStart w:id="1" w:name="_Toc235006522"/>
      <w:r>
        <w:lastRenderedPageBreak/>
        <w:t>1. Purpose and scope</w:t>
      </w:r>
      <w:bookmarkEnd w:id="1"/>
    </w:p>
    <w:p w14:paraId="3283D86C" w14:textId="77777777" w:rsidR="007F73D0" w:rsidRDefault="00000000">
      <w:pPr>
        <w:spacing w:after="140" w:line="276" w:lineRule="auto"/>
      </w:pPr>
      <w:r>
        <w:t>This document is the solution architecture for the Revitalise grant application automation programme. It is the first deliverable of Phase 0 (Platform Foundation &amp; Governance, WBS task 0.1) and the technical foundation that every subsequent automation is built on. It fixes the decisions that are expensive to change later: how the platform is structured, how work moves from build to live, how things are named, and how the parts fit together.</w:t>
      </w:r>
    </w:p>
    <w:p w14:paraId="3283D86D" w14:textId="77777777" w:rsidR="007F73D0" w:rsidRDefault="00000000">
      <w:pPr>
        <w:spacing w:after="140" w:line="276" w:lineRule="auto"/>
      </w:pPr>
      <w:r>
        <w:t xml:space="preserve">It covers six areas, matching the WBS 0.1 definition: </w:t>
      </w:r>
      <w:r>
        <w:rPr>
          <w:b/>
          <w:bCs/>
        </w:rPr>
        <w:t>overall solution approach, environment strategy (dev/prod), naming conventions, component map, integration architecture, and the solution packaging strategy for ALM</w:t>
      </w:r>
      <w:r>
        <w:t>.</w:t>
      </w:r>
    </w:p>
    <w:p w14:paraId="3283D86E" w14:textId="77777777" w:rsidR="007F73D0" w:rsidRDefault="00000000">
      <w:pPr>
        <w:spacing w:before="40" w:after="60"/>
      </w:pPr>
      <w:r>
        <w:rPr>
          <w:b/>
          <w:bCs/>
          <w:color w:val="C99A52"/>
          <w:spacing w:val="30"/>
          <w:sz w:val="16"/>
          <w:szCs w:val="16"/>
        </w:rPr>
        <w:t>IN PLAIN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F73D0" w14:paraId="3283D870" w14:textId="77777777">
        <w:tblPrEx>
          <w:tblCellMar>
            <w:top w:w="0" w:type="dxa"/>
            <w:bottom w:w="0" w:type="dxa"/>
          </w:tblCellMar>
        </w:tblPrEx>
        <w:tc>
          <w:tcPr>
            <w:tcW w:w="9026" w:type="dxa"/>
            <w:tcBorders>
              <w:top w:val="single" w:sz="2" w:space="0" w:color="F7F5F2"/>
              <w:left w:val="single" w:sz="24" w:space="0" w:color="C99A52"/>
              <w:bottom w:val="single" w:sz="2" w:space="0" w:color="F7F5F2"/>
              <w:right w:val="single" w:sz="2" w:space="0" w:color="F7F5F2"/>
            </w:tcBorders>
            <w:shd w:val="clear" w:color="auto" w:fill="F7F5F2"/>
            <w:tcMar>
              <w:top w:w="120" w:type="dxa"/>
              <w:left w:w="200" w:type="dxa"/>
              <w:bottom w:w="120" w:type="dxa"/>
              <w:right w:w="160" w:type="dxa"/>
            </w:tcMar>
          </w:tcPr>
          <w:p w14:paraId="3283D86F" w14:textId="77777777" w:rsidR="007F73D0" w:rsidRDefault="00000000">
            <w:pPr>
              <w:spacing w:after="40"/>
            </w:pPr>
            <w:r>
              <w:rPr>
                <w:sz w:val="20"/>
                <w:szCs w:val="20"/>
              </w:rPr>
              <w:t>Before building anything, we agree how the system is laid out and how we move it safely from a testing area into live use. This document is that agreement. It keeps the seven automations consistent, maintainable by non-developers, and safe to change without breaking what already works.</w:t>
            </w:r>
          </w:p>
        </w:tc>
      </w:tr>
    </w:tbl>
    <w:p w14:paraId="3283D871" w14:textId="77777777" w:rsidR="007F73D0" w:rsidRDefault="00000000">
      <w:pPr>
        <w:pStyle w:val="Heading2"/>
      </w:pPr>
      <w:bookmarkStart w:id="2" w:name="_Toc235006523"/>
      <w:r>
        <w:t>Related documents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426"/>
        <w:gridCol w:w="1400"/>
      </w:tblGrid>
      <w:tr w:rsidR="007F73D0" w14:paraId="3283D875" w14:textId="77777777">
        <w:tblPrEx>
          <w:tblCellMar>
            <w:top w:w="0" w:type="dxa"/>
            <w:bottom w:w="0" w:type="dxa"/>
          </w:tblCellMar>
        </w:tblPrEx>
        <w:trPr>
          <w:tblHeader/>
        </w:trPr>
        <w:tc>
          <w:tcPr>
            <w:tcW w:w="32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872" w14:textId="77777777" w:rsidR="007F73D0" w:rsidRDefault="00000000">
            <w:r>
              <w:rPr>
                <w:b/>
                <w:bCs/>
                <w:color w:val="FFFFFF"/>
                <w:sz w:val="19"/>
                <w:szCs w:val="19"/>
              </w:rPr>
              <w:t>Document</w:t>
            </w:r>
          </w:p>
        </w:tc>
        <w:tc>
          <w:tcPr>
            <w:tcW w:w="4426"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873" w14:textId="77777777" w:rsidR="007F73D0" w:rsidRDefault="00000000">
            <w:r>
              <w:rPr>
                <w:b/>
                <w:bCs/>
                <w:color w:val="FFFFFF"/>
                <w:sz w:val="19"/>
                <w:szCs w:val="19"/>
              </w:rPr>
              <w:t>Role</w:t>
            </w:r>
          </w:p>
        </w:tc>
        <w:tc>
          <w:tcPr>
            <w:tcW w:w="14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874" w14:textId="77777777" w:rsidR="007F73D0" w:rsidRDefault="00000000">
            <w:r>
              <w:rPr>
                <w:b/>
                <w:bCs/>
                <w:color w:val="FFFFFF"/>
                <w:sz w:val="19"/>
                <w:szCs w:val="19"/>
              </w:rPr>
              <w:t>Status</w:t>
            </w:r>
          </w:p>
        </w:tc>
      </w:tr>
      <w:tr w:rsidR="007F73D0" w14:paraId="3283D879" w14:textId="77777777">
        <w:tblPrEx>
          <w:tblCellMar>
            <w:top w:w="0" w:type="dxa"/>
            <w:bottom w:w="0" w:type="dxa"/>
          </w:tblCellMar>
        </w:tblPrEx>
        <w:tc>
          <w:tcPr>
            <w:tcW w:w="32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76" w14:textId="77777777" w:rsidR="007F73D0" w:rsidRDefault="00000000">
            <w:r>
              <w:rPr>
                <w:sz w:val="18"/>
                <w:szCs w:val="18"/>
              </w:rPr>
              <w:t>Solution Overview (v0.2)</w:t>
            </w:r>
          </w:p>
        </w:tc>
        <w:tc>
          <w:tcPr>
            <w:tcW w:w="44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77" w14:textId="77777777" w:rsidR="007F73D0" w:rsidRDefault="00000000">
            <w:r>
              <w:rPr>
                <w:sz w:val="18"/>
                <w:szCs w:val="18"/>
              </w:rPr>
              <w:t>Business case, scope, ROI — for Revitalise leadership</w:t>
            </w:r>
          </w:p>
        </w:tc>
        <w:tc>
          <w:tcPr>
            <w:tcW w:w="14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78" w14:textId="77777777" w:rsidR="007F73D0" w:rsidRDefault="00000000">
            <w:r>
              <w:rPr>
                <w:sz w:val="18"/>
                <w:szCs w:val="18"/>
              </w:rPr>
              <w:t>Draft</w:t>
            </w:r>
          </w:p>
        </w:tc>
      </w:tr>
      <w:tr w:rsidR="007F73D0" w14:paraId="3283D87D" w14:textId="77777777">
        <w:tblPrEx>
          <w:tblCellMar>
            <w:top w:w="0" w:type="dxa"/>
            <w:bottom w:w="0" w:type="dxa"/>
          </w:tblCellMar>
        </w:tblPrEx>
        <w:tc>
          <w:tcPr>
            <w:tcW w:w="32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7A" w14:textId="77777777" w:rsidR="007F73D0" w:rsidRDefault="00000000">
            <w:r>
              <w:rPr>
                <w:sz w:val="18"/>
                <w:szCs w:val="18"/>
              </w:rPr>
              <w:t>Automation Solution Design (v0.5)</w:t>
            </w:r>
          </w:p>
        </w:tc>
        <w:tc>
          <w:tcPr>
            <w:tcW w:w="44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7B" w14:textId="77777777" w:rsidR="007F73D0" w:rsidRDefault="00000000">
            <w:r>
              <w:rPr>
                <w:sz w:val="18"/>
                <w:szCs w:val="18"/>
              </w:rPr>
              <w:t>Per-automation build specifications and estimates</w:t>
            </w:r>
          </w:p>
        </w:tc>
        <w:tc>
          <w:tcPr>
            <w:tcW w:w="14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7C" w14:textId="77777777" w:rsidR="007F73D0" w:rsidRDefault="00000000">
            <w:r>
              <w:rPr>
                <w:sz w:val="18"/>
                <w:szCs w:val="18"/>
              </w:rPr>
              <w:t>Draft</w:t>
            </w:r>
          </w:p>
        </w:tc>
      </w:tr>
      <w:tr w:rsidR="007F73D0" w14:paraId="3283D881" w14:textId="77777777">
        <w:tblPrEx>
          <w:tblCellMar>
            <w:top w:w="0" w:type="dxa"/>
            <w:bottom w:w="0" w:type="dxa"/>
          </w:tblCellMar>
        </w:tblPrEx>
        <w:tc>
          <w:tcPr>
            <w:tcW w:w="32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7E" w14:textId="77777777" w:rsidR="007F73D0" w:rsidRDefault="00000000">
            <w:r>
              <w:rPr>
                <w:sz w:val="18"/>
                <w:szCs w:val="18"/>
              </w:rPr>
              <w:t>Work Breakdown Structure (v0.5)</w:t>
            </w:r>
          </w:p>
        </w:tc>
        <w:tc>
          <w:tcPr>
            <w:tcW w:w="44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7F" w14:textId="77777777" w:rsidR="007F73D0" w:rsidRDefault="00000000">
            <w:r>
              <w:rPr>
                <w:sz w:val="18"/>
                <w:szCs w:val="18"/>
              </w:rPr>
              <w:t>Task-level plan, hours, dependencies, phasing</w:t>
            </w:r>
          </w:p>
        </w:tc>
        <w:tc>
          <w:tcPr>
            <w:tcW w:w="14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80" w14:textId="77777777" w:rsidR="007F73D0" w:rsidRDefault="00000000">
            <w:r>
              <w:rPr>
                <w:sz w:val="18"/>
                <w:szCs w:val="18"/>
              </w:rPr>
              <w:t>Draft</w:t>
            </w:r>
          </w:p>
        </w:tc>
      </w:tr>
      <w:tr w:rsidR="007F73D0" w14:paraId="3283D885" w14:textId="77777777">
        <w:tblPrEx>
          <w:tblCellMar>
            <w:top w:w="0" w:type="dxa"/>
            <w:bottom w:w="0" w:type="dxa"/>
          </w:tblCellMar>
        </w:tblPrEx>
        <w:tc>
          <w:tcPr>
            <w:tcW w:w="32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82" w14:textId="77777777" w:rsidR="007F73D0" w:rsidRDefault="00000000">
            <w:r>
              <w:rPr>
                <w:sz w:val="18"/>
                <w:szCs w:val="18"/>
              </w:rPr>
              <w:t>This document — Solution Architecture (v0.4)</w:t>
            </w:r>
          </w:p>
        </w:tc>
        <w:tc>
          <w:tcPr>
            <w:tcW w:w="44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83" w14:textId="77777777" w:rsidR="007F73D0" w:rsidRDefault="00000000">
            <w:r>
              <w:rPr>
                <w:sz w:val="18"/>
                <w:szCs w:val="18"/>
              </w:rPr>
              <w:t>Technical foundation: environments, naming, components, integration, ALM</w:t>
            </w:r>
          </w:p>
        </w:tc>
        <w:tc>
          <w:tcPr>
            <w:tcW w:w="14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84" w14:textId="77777777" w:rsidR="007F73D0" w:rsidRDefault="00000000">
            <w:r>
              <w:rPr>
                <w:sz w:val="18"/>
                <w:szCs w:val="18"/>
              </w:rPr>
              <w:t>Draft</w:t>
            </w:r>
          </w:p>
        </w:tc>
      </w:tr>
      <w:tr w:rsidR="007F73D0" w14:paraId="3283D889" w14:textId="77777777">
        <w:tblPrEx>
          <w:tblCellMar>
            <w:top w:w="0" w:type="dxa"/>
            <w:bottom w:w="0" w:type="dxa"/>
          </w:tblCellMar>
        </w:tblPrEx>
        <w:tc>
          <w:tcPr>
            <w:tcW w:w="32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86" w14:textId="77777777" w:rsidR="007F73D0" w:rsidRDefault="00000000">
            <w:r>
              <w:rPr>
                <w:sz w:val="18"/>
                <w:szCs w:val="18"/>
              </w:rPr>
              <w:t>Downstream Phase 0 deliverables (0.2–0.8)</w:t>
            </w:r>
          </w:p>
        </w:tc>
        <w:tc>
          <w:tcPr>
            <w:tcW w:w="44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87" w14:textId="77777777" w:rsidR="007F73D0" w:rsidRDefault="00000000">
            <w:r>
              <w:rPr>
                <w:sz w:val="18"/>
                <w:szCs w:val="18"/>
              </w:rPr>
              <w:t>Environments, security model, ALM runbook, data governance — build on this document</w:t>
            </w:r>
          </w:p>
        </w:tc>
        <w:tc>
          <w:tcPr>
            <w:tcW w:w="14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88" w14:textId="77777777" w:rsidR="007F73D0" w:rsidRDefault="00000000">
            <w:r>
              <w:rPr>
                <w:sz w:val="18"/>
                <w:szCs w:val="18"/>
              </w:rPr>
              <w:t>Planned</w:t>
            </w:r>
          </w:p>
        </w:tc>
      </w:tr>
    </w:tbl>
    <w:p w14:paraId="3283D88A" w14:textId="77777777" w:rsidR="007F73D0" w:rsidRDefault="00000000">
      <w:pPr>
        <w:pStyle w:val="Heading2"/>
      </w:pPr>
      <w:bookmarkStart w:id="3" w:name="_Toc235006524"/>
      <w:r>
        <w:t>Out of scope for this document</w:t>
      </w:r>
      <w:bookmarkEnd w:id="3"/>
    </w:p>
    <w:p w14:paraId="3283D88B" w14:textId="77777777" w:rsidR="007F73D0" w:rsidRDefault="00000000">
      <w:pPr>
        <w:pStyle w:val="ListParagraph"/>
        <w:numPr>
          <w:ilvl w:val="0"/>
          <w:numId w:val="2"/>
        </w:numPr>
        <w:spacing w:after="70" w:line="268" w:lineRule="auto"/>
      </w:pPr>
      <w:r>
        <w:t>Detailed security and permissions matrix — produced as WBS 0.5 (Security model document).</w:t>
      </w:r>
    </w:p>
    <w:p w14:paraId="3283D88C" w14:textId="77777777" w:rsidR="007F73D0" w:rsidRDefault="00000000">
      <w:pPr>
        <w:pStyle w:val="ListParagraph"/>
        <w:numPr>
          <w:ilvl w:val="0"/>
          <w:numId w:val="2"/>
        </w:numPr>
        <w:spacing w:after="70" w:line="268" w:lineRule="auto"/>
      </w:pPr>
      <w:r>
        <w:t>The data retention schema is set in Section 8. GDPR operational detail (DPIA, record of processing, DLP configuration) is completed in WBS 0.7 (Data governance framework).</w:t>
      </w:r>
    </w:p>
    <w:p w14:paraId="3283D88D" w14:textId="77777777" w:rsidR="007F73D0" w:rsidRDefault="00000000">
      <w:pPr>
        <w:pStyle w:val="ListParagraph"/>
        <w:numPr>
          <w:ilvl w:val="0"/>
          <w:numId w:val="2"/>
        </w:numPr>
        <w:spacing w:after="70" w:line="268" w:lineRule="auto"/>
      </w:pPr>
      <w:r>
        <w:t>Step-by-step deployment procedures — produced as WBS 0.6 (ALM runbook). This document sets the strategy; the runbook operationalises it.</w:t>
      </w:r>
    </w:p>
    <w:p w14:paraId="3283D88E" w14:textId="77777777" w:rsidR="007F73D0" w:rsidRDefault="00000000">
      <w:pPr>
        <w:pStyle w:val="ListParagraph"/>
        <w:numPr>
          <w:ilvl w:val="0"/>
          <w:numId w:val="2"/>
        </w:numPr>
        <w:spacing w:after="70" w:line="268" w:lineRule="auto"/>
      </w:pPr>
      <w:r>
        <w:t>Per-automation logic and field-level design — held in the Solution Design v0.5.</w:t>
      </w:r>
    </w:p>
    <w:p w14:paraId="3283D88F" w14:textId="77777777" w:rsidR="007F73D0" w:rsidRDefault="00000000">
      <w:r>
        <w:br w:type="page"/>
      </w:r>
    </w:p>
    <w:p w14:paraId="3283D890" w14:textId="77777777" w:rsidR="007F73D0" w:rsidRDefault="00000000">
      <w:pPr>
        <w:pStyle w:val="Heading1"/>
      </w:pPr>
      <w:bookmarkStart w:id="4" w:name="_Toc235006525"/>
      <w:r>
        <w:lastRenderedPageBreak/>
        <w:t>2. Overall solution approach</w:t>
      </w:r>
      <w:bookmarkEnd w:id="4"/>
    </w:p>
    <w:p w14:paraId="3283D891" w14:textId="77777777" w:rsidR="007F73D0" w:rsidRDefault="00000000">
      <w:pPr>
        <w:spacing w:after="140" w:line="276" w:lineRule="auto"/>
      </w:pPr>
      <w:r>
        <w:t>The solution automates the grant journey from application submission to trustee decision and acceptance, on the Microsoft 365 and Power Platform stack Revitalise already owns. The automations replace the data handling, not the decision-making: scoring is automatic with Emily's oversight and override, and trustees make the grant decision.</w:t>
      </w:r>
    </w:p>
    <w:p w14:paraId="3283D892" w14:textId="77777777" w:rsidR="007F73D0" w:rsidRDefault="00000000">
      <w:pPr>
        <w:pStyle w:val="Heading2"/>
      </w:pPr>
      <w:bookmarkStart w:id="5" w:name="_Toc235006526"/>
      <w:r>
        <w:t>Architecture principles</w:t>
      </w:r>
      <w:bookmarkEnd w:id="5"/>
    </w:p>
    <w:p w14:paraId="3283D893" w14:textId="77777777" w:rsidR="007F73D0" w:rsidRDefault="00000000">
      <w:pPr>
        <w:spacing w:after="140" w:line="276" w:lineRule="auto"/>
      </w:pPr>
      <w:r>
        <w:t>Five principles govern every design decision. They carry forward the four principles set in the Solution Design and add one for this foundation layer.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7F73D0" w14:paraId="3283D896" w14:textId="77777777">
        <w:tblPrEx>
          <w:tblCellMar>
            <w:top w:w="0" w:type="dxa"/>
            <w:bottom w:w="0" w:type="dxa"/>
          </w:tblCellMar>
        </w:tblPrEx>
        <w:trPr>
          <w:tblHeader/>
        </w:trPr>
        <w:tc>
          <w:tcPr>
            <w:tcW w:w="27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894" w14:textId="77777777" w:rsidR="007F73D0" w:rsidRDefault="00000000">
            <w:r>
              <w:rPr>
                <w:b/>
                <w:bCs/>
                <w:color w:val="FFFFFF"/>
                <w:sz w:val="19"/>
                <w:szCs w:val="19"/>
              </w:rPr>
              <w:t>Principle</w:t>
            </w:r>
          </w:p>
        </w:tc>
        <w:tc>
          <w:tcPr>
            <w:tcW w:w="6326"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895" w14:textId="77777777" w:rsidR="007F73D0" w:rsidRDefault="00000000">
            <w:r>
              <w:rPr>
                <w:b/>
                <w:bCs/>
                <w:color w:val="FFFFFF"/>
                <w:sz w:val="19"/>
                <w:szCs w:val="19"/>
              </w:rPr>
              <w:t>What it means in practice</w:t>
            </w:r>
          </w:p>
        </w:tc>
      </w:tr>
      <w:tr w:rsidR="007F73D0" w14:paraId="3283D899" w14:textId="77777777">
        <w:tblPrEx>
          <w:tblCellMar>
            <w:top w:w="0" w:type="dxa"/>
            <w:bottom w:w="0" w:type="dxa"/>
          </w:tblCellMar>
        </w:tblPrEx>
        <w:tc>
          <w:tcPr>
            <w:tcW w:w="27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97" w14:textId="77777777" w:rsidR="007F73D0" w:rsidRDefault="00000000">
            <w:r>
              <w:rPr>
                <w:sz w:val="18"/>
                <w:szCs w:val="18"/>
              </w:rPr>
              <w:t>Low-code, no custom code</w:t>
            </w:r>
          </w:p>
        </w:tc>
        <w:tc>
          <w:tcPr>
            <w:tcW w:w="63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98" w14:textId="77777777" w:rsidR="007F73D0" w:rsidRDefault="00000000">
            <w:r>
              <w:rPr>
                <w:sz w:val="18"/>
                <w:szCs w:val="18"/>
              </w:rPr>
              <w:t>Power Automate cloud flows, Power Apps, and Dataverse configuration only. No VBA, no macros, no scripts running on anyone's laptop.</w:t>
            </w:r>
          </w:p>
        </w:tc>
      </w:tr>
      <w:tr w:rsidR="007F73D0" w14:paraId="3283D89C" w14:textId="77777777">
        <w:tblPrEx>
          <w:tblCellMar>
            <w:top w:w="0" w:type="dxa"/>
            <w:bottom w:w="0" w:type="dxa"/>
          </w:tblCellMar>
        </w:tblPrEx>
        <w:tc>
          <w:tcPr>
            <w:tcW w:w="27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9A" w14:textId="77777777" w:rsidR="007F73D0" w:rsidRDefault="00000000">
            <w:r>
              <w:rPr>
                <w:sz w:val="18"/>
                <w:szCs w:val="18"/>
              </w:rPr>
              <w:t>Maintainable by non-developers</w:t>
            </w:r>
          </w:p>
        </w:tc>
        <w:tc>
          <w:tcPr>
            <w:tcW w:w="63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9B" w14:textId="77777777" w:rsidR="007F73D0" w:rsidRDefault="00000000">
            <w:r>
              <w:rPr>
                <w:sz w:val="18"/>
                <w:szCs w:val="18"/>
              </w:rPr>
              <w:t>Thresholds, templates, and mappings live in configuration (a Settings list, environment variables, templates) so Emily or a future admin can adjust them without editing a flow.</w:t>
            </w:r>
          </w:p>
        </w:tc>
      </w:tr>
      <w:tr w:rsidR="007F73D0" w14:paraId="3283D89F" w14:textId="77777777">
        <w:tblPrEx>
          <w:tblCellMar>
            <w:top w:w="0" w:type="dxa"/>
            <w:bottom w:w="0" w:type="dxa"/>
          </w:tblCellMar>
        </w:tblPrEx>
        <w:tc>
          <w:tcPr>
            <w:tcW w:w="27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9D" w14:textId="77777777" w:rsidR="007F73D0" w:rsidRDefault="00000000">
            <w:r>
              <w:rPr>
                <w:sz w:val="18"/>
                <w:szCs w:val="18"/>
              </w:rPr>
              <w:t>Cloud-native and portable</w:t>
            </w:r>
          </w:p>
        </w:tc>
        <w:tc>
          <w:tcPr>
            <w:tcW w:w="63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9E" w14:textId="77777777" w:rsidR="007F73D0" w:rsidRDefault="00000000">
            <w:r>
              <w:rPr>
                <w:sz w:val="18"/>
                <w:szCs w:val="18"/>
              </w:rPr>
              <w:t>Data lives in Dataverse. No local file dependencies and no 'single source of truth on one laptop' risk.</w:t>
            </w:r>
          </w:p>
        </w:tc>
      </w:tr>
      <w:tr w:rsidR="007F73D0" w14:paraId="3283D8A2" w14:textId="77777777">
        <w:tblPrEx>
          <w:tblCellMar>
            <w:top w:w="0" w:type="dxa"/>
            <w:bottom w:w="0" w:type="dxa"/>
          </w:tblCellMar>
        </w:tblPrEx>
        <w:tc>
          <w:tcPr>
            <w:tcW w:w="27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A0" w14:textId="77777777" w:rsidR="007F73D0" w:rsidRDefault="00000000">
            <w:r>
              <w:rPr>
                <w:sz w:val="18"/>
                <w:szCs w:val="18"/>
              </w:rPr>
              <w:t>AI only where it earns its place</w:t>
            </w:r>
          </w:p>
        </w:tc>
        <w:tc>
          <w:tcPr>
            <w:tcW w:w="63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A1" w14:textId="77777777" w:rsidR="007F73D0" w:rsidRDefault="00000000">
            <w:r>
              <w:rPr>
                <w:sz w:val="18"/>
                <w:szCs w:val="18"/>
              </w:rPr>
              <w:t>AI Builder redacts only the free-text narratives a trustee must read (the benefit statement and the 'other condition' notes), where find-and-replace fails. Structured identifiers are hidden by field-level security, not AI. Everywhere else, simpler tools do the job.</w:t>
            </w:r>
          </w:p>
        </w:tc>
      </w:tr>
      <w:tr w:rsidR="007F73D0" w14:paraId="3283D8A5" w14:textId="77777777">
        <w:tblPrEx>
          <w:tblCellMar>
            <w:top w:w="0" w:type="dxa"/>
            <w:bottom w:w="0" w:type="dxa"/>
          </w:tblCellMar>
        </w:tblPrEx>
        <w:tc>
          <w:tcPr>
            <w:tcW w:w="27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A3" w14:textId="77777777" w:rsidR="007F73D0" w:rsidRDefault="00000000">
            <w:r>
              <w:rPr>
                <w:sz w:val="18"/>
                <w:szCs w:val="18"/>
              </w:rPr>
              <w:t>Governed foundation first</w:t>
            </w:r>
          </w:p>
        </w:tc>
        <w:tc>
          <w:tcPr>
            <w:tcW w:w="63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A4" w14:textId="77777777" w:rsidR="007F73D0" w:rsidRDefault="00000000">
            <w:r>
              <w:rPr>
                <w:sz w:val="18"/>
                <w:szCs w:val="18"/>
              </w:rPr>
              <w:t>Environments, DLP, service identity, the Dataverse data model and its security roles, naming, and ALM are established in Phase 0 before any automation is built, so every later component inherits a consistent, controlled structure. The data model and field-level security are the heaviest part of this layer.</w:t>
            </w:r>
          </w:p>
        </w:tc>
      </w:tr>
    </w:tbl>
    <w:p w14:paraId="3283D8A6" w14:textId="77777777" w:rsidR="007F73D0" w:rsidRDefault="00000000">
      <w:pPr>
        <w:pStyle w:val="Heading2"/>
      </w:pPr>
      <w:bookmarkStart w:id="6" w:name="_Toc235006527"/>
      <w:r>
        <w:t>Platform stack</w:t>
      </w:r>
      <w:bookmarkEnd w:id="6"/>
    </w:p>
    <w:p w14:paraId="3283D8A7" w14:textId="77777777" w:rsidR="007F73D0" w:rsidRDefault="00000000">
      <w:pPr>
        <w:spacing w:after="140" w:line="276" w:lineRule="auto"/>
      </w:pPr>
      <w:r>
        <w:t>The solution is layered. Each layer has a clear responsibility, which keeps components loosely coupled and easy to change independently.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100"/>
        <w:gridCol w:w="4026"/>
      </w:tblGrid>
      <w:tr w:rsidR="007F73D0" w14:paraId="3283D8AB" w14:textId="77777777">
        <w:tblPrEx>
          <w:tblCellMar>
            <w:top w:w="0" w:type="dxa"/>
            <w:bottom w:w="0" w:type="dxa"/>
          </w:tblCellMar>
        </w:tblPrEx>
        <w:trPr>
          <w:tblHeader/>
        </w:trPr>
        <w:tc>
          <w:tcPr>
            <w:tcW w:w="19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8A8" w14:textId="77777777" w:rsidR="007F73D0" w:rsidRDefault="00000000">
            <w:r>
              <w:rPr>
                <w:b/>
                <w:bCs/>
                <w:color w:val="FFFFFF"/>
                <w:sz w:val="19"/>
                <w:szCs w:val="19"/>
              </w:rPr>
              <w:t>Layer</w:t>
            </w:r>
          </w:p>
        </w:tc>
        <w:tc>
          <w:tcPr>
            <w:tcW w:w="31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8A9" w14:textId="77777777" w:rsidR="007F73D0" w:rsidRDefault="00000000">
            <w:r>
              <w:rPr>
                <w:b/>
                <w:bCs/>
                <w:color w:val="FFFFFF"/>
                <w:sz w:val="19"/>
                <w:szCs w:val="19"/>
              </w:rPr>
              <w:t>Technology</w:t>
            </w:r>
          </w:p>
        </w:tc>
        <w:tc>
          <w:tcPr>
            <w:tcW w:w="4026"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8AA" w14:textId="77777777" w:rsidR="007F73D0" w:rsidRDefault="00000000">
            <w:r>
              <w:rPr>
                <w:b/>
                <w:bCs/>
                <w:color w:val="FFFFFF"/>
                <w:sz w:val="19"/>
                <w:szCs w:val="19"/>
              </w:rPr>
              <w:t>Responsibility</w:t>
            </w:r>
          </w:p>
        </w:tc>
      </w:tr>
      <w:tr w:rsidR="007F73D0" w14:paraId="3283D8AF" w14:textId="77777777">
        <w:tblPrEx>
          <w:tblCellMar>
            <w:top w:w="0" w:type="dxa"/>
            <w:bottom w:w="0" w:type="dxa"/>
          </w:tblCellMar>
        </w:tblPrEx>
        <w:tc>
          <w:tcPr>
            <w:tcW w:w="1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AC" w14:textId="77777777" w:rsidR="007F73D0" w:rsidRDefault="00000000">
            <w:r>
              <w:rPr>
                <w:sz w:val="18"/>
                <w:szCs w:val="18"/>
              </w:rPr>
              <w:t>Experience</w:t>
            </w:r>
          </w:p>
        </w:tc>
        <w:tc>
          <w:tcPr>
            <w:tcW w:w="31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AD" w14:textId="77777777" w:rsidR="007F73D0" w:rsidRDefault="00000000">
            <w:r>
              <w:rPr>
                <w:sz w:val="18"/>
                <w:szCs w:val="18"/>
              </w:rPr>
              <w:t>WordPress form, Power Apps (Dataverse app), DocuSign</w:t>
            </w:r>
          </w:p>
        </w:tc>
        <w:tc>
          <w:tcPr>
            <w:tcW w:w="40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AE" w14:textId="77777777" w:rsidR="007F73D0" w:rsidRDefault="00000000">
            <w:r>
              <w:rPr>
                <w:sz w:val="18"/>
                <w:szCs w:val="18"/>
              </w:rPr>
              <w:t>Where people interact — applicants, Emily, trustees, signatories</w:t>
            </w:r>
          </w:p>
        </w:tc>
      </w:tr>
      <w:tr w:rsidR="007F73D0" w14:paraId="3283D8B3" w14:textId="77777777">
        <w:tblPrEx>
          <w:tblCellMar>
            <w:top w:w="0" w:type="dxa"/>
            <w:bottom w:w="0" w:type="dxa"/>
          </w:tblCellMar>
        </w:tblPrEx>
        <w:tc>
          <w:tcPr>
            <w:tcW w:w="1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B0" w14:textId="77777777" w:rsidR="007F73D0" w:rsidRDefault="00000000">
            <w:r>
              <w:rPr>
                <w:sz w:val="18"/>
                <w:szCs w:val="18"/>
              </w:rPr>
              <w:t>Orchestration</w:t>
            </w:r>
          </w:p>
        </w:tc>
        <w:tc>
          <w:tcPr>
            <w:tcW w:w="31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B1" w14:textId="77777777" w:rsidR="007F73D0" w:rsidRDefault="00000000">
            <w:r>
              <w:rPr>
                <w:sz w:val="18"/>
                <w:szCs w:val="18"/>
              </w:rPr>
              <w:t>Power Automate cloud flows</w:t>
            </w:r>
          </w:p>
        </w:tc>
        <w:tc>
          <w:tcPr>
            <w:tcW w:w="40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B2" w14:textId="77777777" w:rsidR="007F73D0" w:rsidRDefault="00000000">
            <w:r>
              <w:rPr>
                <w:sz w:val="18"/>
                <w:szCs w:val="18"/>
              </w:rPr>
              <w:t>The logic: intake, scoring, narrative scrubbing, notifications, finance capture</w:t>
            </w:r>
          </w:p>
        </w:tc>
      </w:tr>
      <w:tr w:rsidR="007F73D0" w14:paraId="3283D8B7" w14:textId="77777777">
        <w:tblPrEx>
          <w:tblCellMar>
            <w:top w:w="0" w:type="dxa"/>
            <w:bottom w:w="0" w:type="dxa"/>
          </w:tblCellMar>
        </w:tblPrEx>
        <w:tc>
          <w:tcPr>
            <w:tcW w:w="1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B4" w14:textId="77777777" w:rsidR="007F73D0" w:rsidRDefault="00000000">
            <w:r>
              <w:rPr>
                <w:sz w:val="18"/>
                <w:szCs w:val="18"/>
              </w:rPr>
              <w:t>Intelligence</w:t>
            </w:r>
          </w:p>
        </w:tc>
        <w:tc>
          <w:tcPr>
            <w:tcW w:w="31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B5" w14:textId="77777777" w:rsidR="007F73D0" w:rsidRDefault="00000000">
            <w:r>
              <w:rPr>
                <w:sz w:val="18"/>
                <w:szCs w:val="18"/>
              </w:rPr>
              <w:t>AI Builder (pre-built PII model)</w:t>
            </w:r>
          </w:p>
        </w:tc>
        <w:tc>
          <w:tcPr>
            <w:tcW w:w="40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B6" w14:textId="77777777" w:rsidR="007F73D0" w:rsidRDefault="00000000">
            <w:r>
              <w:rPr>
                <w:sz w:val="18"/>
                <w:szCs w:val="18"/>
              </w:rPr>
              <w:t>Detecting personal data in free-text narratives</w:t>
            </w:r>
          </w:p>
        </w:tc>
      </w:tr>
      <w:tr w:rsidR="007F73D0" w14:paraId="3283D8BB" w14:textId="77777777">
        <w:tblPrEx>
          <w:tblCellMar>
            <w:top w:w="0" w:type="dxa"/>
            <w:bottom w:w="0" w:type="dxa"/>
          </w:tblCellMar>
        </w:tblPrEx>
        <w:tc>
          <w:tcPr>
            <w:tcW w:w="1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B8" w14:textId="77777777" w:rsidR="007F73D0" w:rsidRDefault="00000000">
            <w:r>
              <w:rPr>
                <w:sz w:val="18"/>
                <w:szCs w:val="18"/>
              </w:rPr>
              <w:t>Data</w:t>
            </w:r>
          </w:p>
        </w:tc>
        <w:tc>
          <w:tcPr>
            <w:tcW w:w="31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B9" w14:textId="77777777" w:rsidR="007F73D0" w:rsidRDefault="00000000">
            <w:r>
              <w:rPr>
                <w:sz w:val="18"/>
                <w:szCs w:val="18"/>
              </w:rPr>
              <w:t>Dataverse tables (+ one SharePoint library for the signed PDF)</w:t>
            </w:r>
          </w:p>
        </w:tc>
        <w:tc>
          <w:tcPr>
            <w:tcW w:w="40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BA" w14:textId="77777777" w:rsidR="007F73D0" w:rsidRDefault="00000000">
            <w:r>
              <w:rPr>
                <w:sz w:val="18"/>
                <w:szCs w:val="18"/>
              </w:rPr>
              <w:t>The system of record: applicant, application, review, grant, provider, bank account and payment</w:t>
            </w:r>
          </w:p>
        </w:tc>
      </w:tr>
      <w:tr w:rsidR="007F73D0" w14:paraId="3283D8BF" w14:textId="77777777">
        <w:tblPrEx>
          <w:tblCellMar>
            <w:top w:w="0" w:type="dxa"/>
            <w:bottom w:w="0" w:type="dxa"/>
          </w:tblCellMar>
        </w:tblPrEx>
        <w:tc>
          <w:tcPr>
            <w:tcW w:w="1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BC" w14:textId="77777777" w:rsidR="007F73D0" w:rsidRDefault="00000000">
            <w:r>
              <w:rPr>
                <w:sz w:val="18"/>
                <w:szCs w:val="18"/>
              </w:rPr>
              <w:t>Integration</w:t>
            </w:r>
          </w:p>
        </w:tc>
        <w:tc>
          <w:tcPr>
            <w:tcW w:w="31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BD" w14:textId="77777777" w:rsidR="007F73D0" w:rsidRDefault="00000000">
            <w:r>
              <w:rPr>
                <w:sz w:val="18"/>
                <w:szCs w:val="18"/>
              </w:rPr>
              <w:t>Standard &amp; premium connectors, webhook (HTTP)</w:t>
            </w:r>
          </w:p>
        </w:tc>
        <w:tc>
          <w:tcPr>
            <w:tcW w:w="40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BE" w14:textId="77777777" w:rsidR="007F73D0" w:rsidRDefault="00000000">
            <w:r>
              <w:rPr>
                <w:sz w:val="18"/>
                <w:szCs w:val="18"/>
              </w:rPr>
              <w:t>The pipes between systems</w:t>
            </w:r>
          </w:p>
        </w:tc>
      </w:tr>
      <w:tr w:rsidR="007F73D0" w14:paraId="3283D8C3" w14:textId="77777777">
        <w:tblPrEx>
          <w:tblCellMar>
            <w:top w:w="0" w:type="dxa"/>
            <w:bottom w:w="0" w:type="dxa"/>
          </w:tblCellMar>
        </w:tblPrEx>
        <w:tc>
          <w:tcPr>
            <w:tcW w:w="1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C0" w14:textId="77777777" w:rsidR="007F73D0" w:rsidRDefault="00000000">
            <w:r>
              <w:rPr>
                <w:sz w:val="18"/>
                <w:szCs w:val="18"/>
              </w:rPr>
              <w:t>Identity &amp; governance</w:t>
            </w:r>
          </w:p>
        </w:tc>
        <w:tc>
          <w:tcPr>
            <w:tcW w:w="31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C1" w14:textId="77777777" w:rsidR="007F73D0" w:rsidRDefault="00000000">
            <w:r>
              <w:rPr>
                <w:sz w:val="18"/>
                <w:szCs w:val="18"/>
              </w:rPr>
              <w:t>Microsoft Entra ID, service account, DLP, Conditional Access</w:t>
            </w:r>
          </w:p>
        </w:tc>
        <w:tc>
          <w:tcPr>
            <w:tcW w:w="40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C2" w14:textId="77777777" w:rsidR="007F73D0" w:rsidRDefault="00000000">
            <w:r>
              <w:rPr>
                <w:sz w:val="18"/>
                <w:szCs w:val="18"/>
              </w:rPr>
              <w:t>Who and what is allowed to do what</w:t>
            </w:r>
          </w:p>
        </w:tc>
      </w:tr>
    </w:tbl>
    <w:p w14:paraId="3283D8C4" w14:textId="77777777" w:rsidR="007F73D0" w:rsidRDefault="00000000">
      <w:pPr>
        <w:pStyle w:val="Heading2"/>
      </w:pPr>
      <w:bookmarkStart w:id="7" w:name="_Toc235006528"/>
      <w:r>
        <w:t>Solution boundary</w:t>
      </w:r>
      <w:bookmarkEnd w:id="7"/>
    </w:p>
    <w:p w14:paraId="3283D8C6" w14:textId="50A760B4" w:rsidR="007F73D0" w:rsidRDefault="00000000" w:rsidP="00096C02">
      <w:pPr>
        <w:spacing w:after="140" w:line="276" w:lineRule="auto"/>
      </w:pPr>
      <w:r>
        <w:t>Everything inside the Microsoft 365 tenant is built and owned within a single Power Platform solution (see Section 7). Three systems sit outside that boundary and are reached through connectors: the WordPress website (application intake), DocuSign (acceptance signatures), and QuickBooks Online (duplicate-grant checks). These are the only external dependencies.</w:t>
        <w:br w:type="page"/>
      </w:r>
    </w:p>
    <w:p w14:paraId="3283D8C7" w14:textId="7BCA05FD" w:rsidR="007F73D0" w:rsidRDefault="00000000">
      <w:pPr>
        <w:pStyle w:val="Heading1"/>
      </w:pPr>
      <w:bookmarkStart w:id="8" w:name="_Toc235006529"/>
      <w:r>
        <w:lastRenderedPageBreak/>
        <w:t>3. Environment strategy</w:t>
      </w:r>
      <w:bookmarkEnd w:id="8"/>
    </w:p>
    <w:p w14:paraId="3283D8C8" w14:textId="77777777" w:rsidR="007F73D0" w:rsidRDefault="00000000">
      <w:pPr>
        <w:spacing w:after="140" w:line="276" w:lineRule="auto"/>
      </w:pPr>
      <w:r>
        <w:t>A two-environment model — Development and Production — gives a safe place to build and test, separated from the live system Emily and the trustees rely on. This is the minimum responsible separation for a solution that handles applicant personal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26"/>
        <w:gridCol w:w="2200"/>
        <w:gridCol w:w="1200"/>
      </w:tblGrid>
      <w:tr w:rsidR="007F73D0" w14:paraId="3283D8CD" w14:textId="77777777">
        <w:tblPrEx>
          <w:tblCellMar>
            <w:top w:w="0" w:type="dxa"/>
            <w:bottom w:w="0" w:type="dxa"/>
          </w:tblCellMar>
        </w:tblPrEx>
        <w:trPr>
          <w:tblHeader/>
        </w:trPr>
        <w:tc>
          <w:tcPr>
            <w:tcW w:w="20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8C9" w14:textId="77777777" w:rsidR="007F73D0" w:rsidRDefault="00000000">
            <w:r>
              <w:rPr>
                <w:b/>
                <w:bCs/>
                <w:color w:val="FFFFFF"/>
                <w:sz w:val="19"/>
                <w:szCs w:val="19"/>
              </w:rPr>
              <w:t>Environment</w:t>
            </w:r>
          </w:p>
        </w:tc>
        <w:tc>
          <w:tcPr>
            <w:tcW w:w="3626"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8CA" w14:textId="77777777" w:rsidR="007F73D0" w:rsidRDefault="00000000">
            <w:r>
              <w:rPr>
                <w:b/>
                <w:bCs/>
                <w:color w:val="FFFFFF"/>
                <w:sz w:val="19"/>
                <w:szCs w:val="19"/>
              </w:rPr>
              <w:t>Purpose</w:t>
            </w:r>
          </w:p>
        </w:tc>
        <w:tc>
          <w:tcPr>
            <w:tcW w:w="22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8CB" w14:textId="77777777" w:rsidR="007F73D0" w:rsidRDefault="00000000">
            <w:r>
              <w:rPr>
                <w:b/>
                <w:bCs/>
                <w:color w:val="FFFFFF"/>
                <w:sz w:val="19"/>
                <w:szCs w:val="19"/>
              </w:rPr>
              <w:t>Data</w:t>
            </w:r>
          </w:p>
        </w:tc>
        <w:tc>
          <w:tcPr>
            <w:tcW w:w="12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8CC" w14:textId="77777777" w:rsidR="007F73D0" w:rsidRDefault="00000000">
            <w:r>
              <w:rPr>
                <w:b/>
                <w:bCs/>
                <w:color w:val="FFFFFF"/>
                <w:sz w:val="19"/>
                <w:szCs w:val="19"/>
              </w:rPr>
              <w:t>Access</w:t>
            </w:r>
          </w:p>
        </w:tc>
      </w:tr>
      <w:tr w:rsidR="007F73D0" w14:paraId="3283D8D2" w14:textId="77777777">
        <w:tblPrEx>
          <w:tblCellMar>
            <w:top w:w="0" w:type="dxa"/>
            <w:bottom w:w="0" w:type="dxa"/>
          </w:tblCellMar>
        </w:tblPrEx>
        <w:tc>
          <w:tcPr>
            <w:tcW w:w="20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CE" w14:textId="77777777" w:rsidR="007F73D0" w:rsidRDefault="00000000">
            <w:r>
              <w:rPr>
                <w:sz w:val="18"/>
                <w:szCs w:val="18"/>
              </w:rPr>
              <w:t>Development (DEV)</w:t>
            </w:r>
          </w:p>
        </w:tc>
        <w:tc>
          <w:tcPr>
            <w:tcW w:w="36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CF" w14:textId="77777777" w:rsidR="007F73D0" w:rsidRDefault="00000000">
            <w:r>
              <w:rPr>
                <w:sz w:val="18"/>
                <w:szCs w:val="18"/>
              </w:rPr>
              <w:t>Build and test all flows, lists, apps, and templates. Iterate with Emily using sample and anonymised test data.</w:t>
            </w:r>
          </w:p>
        </w:tc>
        <w:tc>
          <w:tcPr>
            <w:tcW w:w="22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D0" w14:textId="77777777" w:rsidR="007F73D0" w:rsidRDefault="00000000">
            <w:r>
              <w:rPr>
                <w:sz w:val="18"/>
                <w:szCs w:val="18"/>
              </w:rPr>
              <w:t>Synthetic / test applications only — no real applicant PII</w:t>
            </w:r>
          </w:p>
        </w:tc>
        <w:tc>
          <w:tcPr>
            <w:tcW w:w="12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D1" w14:textId="77777777" w:rsidR="007F73D0" w:rsidRDefault="00000000">
            <w:r>
              <w:rPr>
                <w:sz w:val="18"/>
                <w:szCs w:val="18"/>
              </w:rPr>
              <w:t>Xander (maker) + service account</w:t>
            </w:r>
          </w:p>
        </w:tc>
      </w:tr>
      <w:tr w:rsidR="007F73D0" w14:paraId="3283D8D7" w14:textId="77777777">
        <w:tblPrEx>
          <w:tblCellMar>
            <w:top w:w="0" w:type="dxa"/>
            <w:bottom w:w="0" w:type="dxa"/>
          </w:tblCellMar>
        </w:tblPrEx>
        <w:tc>
          <w:tcPr>
            <w:tcW w:w="20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D3" w14:textId="77777777" w:rsidR="007F73D0" w:rsidRDefault="00000000">
            <w:r>
              <w:rPr>
                <w:sz w:val="18"/>
                <w:szCs w:val="18"/>
              </w:rPr>
              <w:t>Production (PROD)</w:t>
            </w:r>
          </w:p>
        </w:tc>
        <w:tc>
          <w:tcPr>
            <w:tcW w:w="36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D4" w14:textId="77777777" w:rsidR="007F73D0" w:rsidRDefault="00000000">
            <w:r>
              <w:rPr>
                <w:sz w:val="18"/>
                <w:szCs w:val="18"/>
              </w:rPr>
              <w:t>The live system. Receives real applications and runs the live automations.</w:t>
            </w:r>
          </w:p>
        </w:tc>
        <w:tc>
          <w:tcPr>
            <w:tcW w:w="22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D5" w14:textId="77777777" w:rsidR="007F73D0" w:rsidRDefault="00000000">
            <w:r>
              <w:rPr>
                <w:sz w:val="18"/>
                <w:szCs w:val="18"/>
              </w:rPr>
              <w:t>Real applicant data, governed under the data governance framework (0.7)</w:t>
            </w:r>
          </w:p>
        </w:tc>
        <w:tc>
          <w:tcPr>
            <w:tcW w:w="12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D6" w14:textId="77777777" w:rsidR="007F73D0" w:rsidRDefault="00000000">
            <w:r>
              <w:rPr>
                <w:sz w:val="18"/>
                <w:szCs w:val="18"/>
              </w:rPr>
              <w:t>Service account runs flows; Emily &amp; trustees use outputs</w:t>
            </w:r>
          </w:p>
        </w:tc>
      </w:tr>
    </w:tbl>
    <w:p w14:paraId="3283D8D8" w14:textId="77777777" w:rsidR="007F73D0" w:rsidRDefault="00000000">
      <w:pPr>
        <w:pStyle w:val="Heading3"/>
      </w:pPr>
      <w:bookmarkStart w:id="9" w:name="_Toc235006530"/>
      <w:r>
        <w:t>Environment configuration</w:t>
      </w:r>
      <w:bookmarkEnd w:id="9"/>
    </w:p>
    <w:p w14:paraId="3283D8D9" w14:textId="77777777" w:rsidR="007F73D0" w:rsidRDefault="00000000">
      <w:pPr>
        <w:pStyle w:val="ListParagraph"/>
        <w:numPr>
          <w:ilvl w:val="0"/>
          <w:numId w:val="2"/>
        </w:numPr>
        <w:spacing w:after="70" w:line="268" w:lineRule="auto"/>
      </w:pPr>
      <w:r>
        <w:rPr>
          <w:b/>
          <w:bCs/>
        </w:rPr>
        <w:t xml:space="preserve">Type: </w:t>
      </w:r>
      <w:r>
        <w:t>both are managed Power Platform environments with a Dataverse database enabled (required for solution deployment, environment variables, and connection references).</w:t>
      </w:r>
    </w:p>
    <w:p w14:paraId="3283D8DA" w14:textId="77777777" w:rsidR="007F73D0" w:rsidRDefault="00000000">
      <w:pPr>
        <w:pStyle w:val="ListParagraph"/>
        <w:numPr>
          <w:ilvl w:val="0"/>
          <w:numId w:val="2"/>
        </w:numPr>
        <w:spacing w:after="70" w:line="268" w:lineRule="auto"/>
      </w:pPr>
      <w:r>
        <w:rPr>
          <w:b/>
          <w:bCs/>
        </w:rPr>
        <w:t xml:space="preserve">Region: </w:t>
      </w:r>
      <w:r>
        <w:t>United Kingdom, to keep applicant data in-region for data-protection alignment. Confirm the tenant's default region during 0.2.</w:t>
      </w:r>
    </w:p>
    <w:p w14:paraId="3283D8DB" w14:textId="77777777" w:rsidR="007F73D0" w:rsidRDefault="00000000">
      <w:pPr>
        <w:pStyle w:val="ListParagraph"/>
        <w:numPr>
          <w:ilvl w:val="0"/>
          <w:numId w:val="2"/>
        </w:numPr>
        <w:spacing w:after="70" w:line="268" w:lineRule="auto"/>
      </w:pPr>
      <w:r>
        <w:rPr>
          <w:b/>
          <w:bCs/>
        </w:rPr>
        <w:t xml:space="preserve">Security groups: </w:t>
      </w:r>
      <w:r>
        <w:t>each environment is restricted to a dedicated Entra ID security group, so only intended makers and the service account can access it.</w:t>
      </w:r>
    </w:p>
    <w:p w14:paraId="3283D8DC" w14:textId="77777777" w:rsidR="007F73D0" w:rsidRDefault="00000000">
      <w:pPr>
        <w:pStyle w:val="ListParagraph"/>
        <w:numPr>
          <w:ilvl w:val="0"/>
          <w:numId w:val="2"/>
        </w:numPr>
        <w:spacing w:after="70" w:line="268" w:lineRule="auto"/>
      </w:pPr>
      <w:r>
        <w:rPr>
          <w:b/>
          <w:bCs/>
        </w:rPr>
        <w:t xml:space="preserve">Solution handling: </w:t>
      </w:r>
      <w:r>
        <w:t>DEV holds the unmanaged solution (editable). PROD receives it as a managed solution (locked, deployed only through the promotion process).</w:t>
      </w:r>
    </w:p>
    <w:p w14:paraId="3283D8DD" w14:textId="77777777" w:rsidR="007F73D0" w:rsidRDefault="00000000">
      <w:pPr>
        <w:pStyle w:val="Heading3"/>
      </w:pPr>
      <w:bookmarkStart w:id="10" w:name="_Toc235006531"/>
      <w:r>
        <w:t>Data Loss Prevention (DLP)</w:t>
      </w:r>
      <w:bookmarkEnd w:id="10"/>
    </w:p>
    <w:p w14:paraId="3283D8DE" w14:textId="77777777" w:rsidR="007F73D0" w:rsidRDefault="00000000">
      <w:pPr>
        <w:spacing w:after="140" w:line="276" w:lineRule="auto"/>
      </w:pPr>
      <w:r>
        <w:t>An environment-level DLP policy governs which connectors may be used and prevents data flowing between business and non-business connector groups. The policy is defined in detail in the data governance work (0.7); the architectural stance is set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
        <w:gridCol w:w="1867"/>
        <w:gridCol w:w="5305"/>
        <w:gridCol w:w="1797"/>
        <w:gridCol w:w="28"/>
      </w:tblGrid>
      <w:tr w:rsidR="007F73D0" w14:paraId="3283D8E2" w14:textId="77777777">
        <w:tblPrEx>
          <w:tblCellMar>
            <w:top w:w="0" w:type="dxa"/>
            <w:bottom w:w="0" w:type="dxa"/>
          </w:tblCellMar>
        </w:tblPrEx>
        <w:trPr>
          <w:gridAfter w:val="1"/>
          <w:wAfter w:w="28" w:type="dxa"/>
          <w:tblHeader/>
        </w:trPr>
        <w:tc>
          <w:tcPr>
            <w:tcW w:w="1900" w:type="dxa"/>
            <w:gridSpan w:val="2"/>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8DF" w14:textId="77777777" w:rsidR="007F73D0" w:rsidRDefault="00000000">
            <w:r>
              <w:rPr>
                <w:b/>
                <w:bCs/>
                <w:color w:val="FFFFFF"/>
                <w:sz w:val="19"/>
                <w:szCs w:val="19"/>
              </w:rPr>
              <w:t>Connector group</w:t>
            </w:r>
          </w:p>
        </w:tc>
        <w:tc>
          <w:tcPr>
            <w:tcW w:w="5327"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8E0" w14:textId="77777777" w:rsidR="007F73D0" w:rsidRDefault="00000000">
            <w:r>
              <w:rPr>
                <w:b/>
                <w:bCs/>
                <w:color w:val="FFFFFF"/>
                <w:sz w:val="19"/>
                <w:szCs w:val="19"/>
              </w:rPr>
              <w:t>Connectors</w:t>
            </w:r>
          </w:p>
        </w:tc>
        <w:tc>
          <w:tcPr>
            <w:tcW w:w="18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8E1" w14:textId="77777777" w:rsidR="007F73D0" w:rsidRDefault="00000000">
            <w:r>
              <w:rPr>
                <w:b/>
                <w:bCs/>
                <w:color w:val="FFFFFF"/>
                <w:sz w:val="19"/>
                <w:szCs w:val="19"/>
              </w:rPr>
              <w:t>Rule</w:t>
            </w:r>
          </w:p>
        </w:tc>
      </w:tr>
      <w:tr w:rsidR="007F73D0" w14:paraId="3283D8E6" w14:textId="77777777">
        <w:tblPrEx>
          <w:tblCellMar>
            <w:top w:w="0" w:type="dxa"/>
            <w:bottom w:w="0" w:type="dxa"/>
          </w:tblCellMar>
        </w:tblPrEx>
        <w:trPr>
          <w:gridAfter w:val="1"/>
          <w:wAfter w:w="28" w:type="dxa"/>
        </w:trPr>
        <w:tc>
          <w:tcPr>
            <w:tcW w:w="1900" w:type="dxa"/>
            <w:gridSpan w:val="2"/>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E3" w14:textId="77777777" w:rsidR="007F73D0" w:rsidRDefault="00000000">
            <w:r>
              <w:rPr>
                <w:sz w:val="18"/>
                <w:szCs w:val="18"/>
              </w:rPr>
              <w:t>Business</w:t>
            </w:r>
          </w:p>
        </w:tc>
        <w:tc>
          <w:tcPr>
            <w:tcW w:w="5327"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E4" w14:textId="77777777" w:rsidR="007F73D0" w:rsidRDefault="00000000">
            <w:r>
              <w:rPr>
                <w:sz w:val="18"/>
                <w:szCs w:val="18"/>
              </w:rPr>
              <w:t>Microsoft Dataverse, SharePoint, Office 365 Outlook, Microsoft Teams, Approvals, AI Builder, DocuSign, QuickBooks Online</w:t>
            </w:r>
          </w:p>
        </w:tc>
        <w:tc>
          <w:tcPr>
            <w:tcW w:w="18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E5" w14:textId="77777777" w:rsidR="007F73D0" w:rsidRDefault="00000000">
            <w:r>
              <w:rPr>
                <w:sz w:val="18"/>
                <w:szCs w:val="18"/>
              </w:rPr>
              <w:t>Permitted; may share data with each other</w:t>
            </w:r>
          </w:p>
        </w:tc>
      </w:tr>
      <w:tr w:rsidR="007F73D0" w14:paraId="3283D8EA" w14:textId="77777777">
        <w:tblPrEx>
          <w:tblCellMar>
            <w:top w:w="0" w:type="dxa"/>
            <w:bottom w:w="0" w:type="dxa"/>
          </w:tblCellMar>
        </w:tblPrEx>
        <w:trPr>
          <w:gridAfter w:val="1"/>
          <w:wAfter w:w="28" w:type="dxa"/>
        </w:trPr>
        <w:tc>
          <w:tcPr>
            <w:tcW w:w="1900" w:type="dxa"/>
            <w:gridSpan w:val="2"/>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E7" w14:textId="77777777" w:rsidR="007F73D0" w:rsidRDefault="00000000">
            <w:r>
              <w:rPr>
                <w:sz w:val="18"/>
                <w:szCs w:val="18"/>
              </w:rPr>
              <w:t>Blocked</w:t>
            </w:r>
          </w:p>
        </w:tc>
        <w:tc>
          <w:tcPr>
            <w:tcW w:w="5327"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E8" w14:textId="77777777" w:rsidR="007F73D0" w:rsidRDefault="00000000">
            <w:r>
              <w:rPr>
                <w:sz w:val="18"/>
                <w:szCs w:val="18"/>
              </w:rPr>
              <w:t>Consumer social, personal storage, and any connector not required by the solution</w:t>
            </w:r>
          </w:p>
        </w:tc>
        <w:tc>
          <w:tcPr>
            <w:tcW w:w="18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E9" w14:textId="77777777" w:rsidR="007F73D0" w:rsidRDefault="00000000">
            <w:r>
              <w:rPr>
                <w:sz w:val="18"/>
                <w:szCs w:val="18"/>
              </w:rPr>
              <w:t>Blocked in both environments</w:t>
            </w:r>
          </w:p>
        </w:tc>
      </w:tr>
      <w:tr w:rsidR="007F73D0" w14:paraId="3283D8ED" w14:textId="77777777">
        <w:tblPrEx>
          <w:tblCellMar>
            <w:top w:w="0" w:type="dxa"/>
            <w:bottom w:w="0" w:type="dxa"/>
          </w:tblCellMar>
        </w:tblPrEx>
        <w:trPr>
          <w:gridBefore w:val="1"/>
          <w:wBefore w:w="29" w:type="dxa"/>
        </w:trPr>
        <w:tc>
          <w:tcPr>
            <w:tcW w:w="9026" w:type="dxa"/>
            <w:gridSpan w:val="4"/>
            <w:tcBorders>
              <w:top w:val="single" w:sz="2" w:space="0" w:color="F7F5F2"/>
              <w:left w:val="single" w:sz="24" w:space="0" w:color="C99A52"/>
              <w:bottom w:val="single" w:sz="2" w:space="0" w:color="F7F5F2"/>
              <w:right w:val="single" w:sz="2" w:space="0" w:color="F7F5F2"/>
            </w:tcBorders>
            <w:shd w:val="clear" w:color="auto" w:fill="F7F5F2"/>
            <w:tcMar>
              <w:top w:w="120" w:type="dxa"/>
              <w:left w:w="200" w:type="dxa"/>
              <w:bottom w:w="120" w:type="dxa"/>
              <w:right w:w="160" w:type="dxa"/>
            </w:tcMar>
          </w:tcPr>
          <w:p w14:paraId="3283D8EB" w14:textId="77777777" w:rsidR="007F73D0" w:rsidRDefault="00000000">
            <w:pPr>
              <w:spacing w:after="60"/>
            </w:pPr>
            <w:r>
              <w:rPr>
                <w:b/>
                <w:bCs/>
                <w:color w:val="05132A"/>
                <w:sz w:val="20"/>
                <w:szCs w:val="20"/>
              </w:rPr>
              <w:t>Note on the HTTP trigger</w:t>
            </w:r>
          </w:p>
          <w:p w14:paraId="3283D8EC" w14:textId="77777777" w:rsidR="007F73D0" w:rsidRDefault="00000000">
            <w:pPr>
              <w:spacing w:after="40"/>
            </w:pPr>
            <w:r>
              <w:rPr>
                <w:sz w:val="20"/>
                <w:szCs w:val="20"/>
              </w:rPr>
              <w:t>The WordPress webhook uses a request/HTTP trigger, which is a premium capability and can carry DLP implications. It is scoped to the intake flow only and secured (Section 6). If tenant DLP blocks it, the fallback is the scheduled REST-API pull or structured-email intake described in the Solution Design.</w:t>
            </w:r>
          </w:p>
        </w:tc>
      </w:tr>
    </w:tbl>
    <w:p w14:paraId="3283D8EE" w14:textId="77777777" w:rsidR="007F73D0" w:rsidRDefault="00000000">
      <w:pPr>
        <w:pStyle w:val="Heading3"/>
      </w:pPr>
      <w:bookmarkStart w:id="11" w:name="_Toc235006532"/>
      <w:r>
        <w:t>Licensing implications</w:t>
      </w:r>
      <w:bookmarkEnd w:id="11"/>
    </w:p>
    <w:p w14:paraId="3283D8EF" w14:textId="77777777" w:rsidR="007F73D0" w:rsidRDefault="00000000">
      <w:pPr>
        <w:pStyle w:val="ListParagraph"/>
        <w:numPr>
          <w:ilvl w:val="0"/>
          <w:numId w:val="2"/>
        </w:numPr>
        <w:spacing w:after="70" w:line="268" w:lineRule="auto"/>
      </w:pPr>
      <w:r>
        <w:t>The data layer is Dataverse, which is a premium Power Platform data source. That changes the licensing basis: every person who uses an app over the custom Dataverse tables needs a per-user Power Apps premium entitlement. The 'one premium seat on the service account' model of earlier versions no longer holds.</w:t>
      </w:r>
    </w:p>
    <w:p w14:paraId="3283D8F0" w14:textId="77777777" w:rsidR="007F73D0" w:rsidRDefault="00000000">
      <w:pPr>
        <w:pStyle w:val="ListParagraph"/>
        <w:numPr>
          <w:ilvl w:val="0"/>
          <w:numId w:val="2"/>
        </w:numPr>
        <w:spacing w:after="70" w:line="268" w:lineRule="auto"/>
      </w:pPr>
      <w:r>
        <w:t xml:space="preserve">The service account, as the maker that creates and manages the tables and authors the app, needs Power Apps Premium and, separately, Power Automate Premium for the standalone scheduled and webhook flows that sit outside the app. Emily, the daily </w:t>
        <w:lastRenderedPageBreak/>
        <w:t>processor, needs a Power Apps Premium seat; trustees, who log in only for their monthly round, run on pay-as-you-go.</w:t>
      </w:r>
    </w:p>
    <w:p w14:paraId="3283D8F1" w14:textId="77777777" w:rsidR="007F73D0" w:rsidRDefault="00000000">
      <w:pPr>
        <w:pStyle w:val="ListParagraph"/>
        <w:numPr>
          <w:ilvl w:val="0"/>
          <w:numId w:val="2"/>
        </w:numPr>
        <w:spacing w:after="70" w:line="268" w:lineRule="auto"/>
      </w:pPr>
      <w:r>
        <w:t>AI Builder is now used only to redact the free-text narratives a trustee must read, and may be covered by the 500 AI Builder credits bundled with each Power Apps Premium seat rather than a separate purchase. Power BI Pro is no longer required: the trustee portal is a Dataverse app.</w:t>
      </w:r>
    </w:p>
    <w:p w14:paraId="3283D8F2" w14:textId="77777777" w:rsidR="007F73D0" w:rsidRDefault="00000000">
      <w:pPr>
        <w:pStyle w:val="ListParagraph"/>
        <w:numPr>
          <w:ilvl w:val="0"/>
          <w:numId w:val="2"/>
        </w:numPr>
        <w:spacing w:after="70" w:line="268" w:lineRule="auto"/>
      </w:pPr>
      <w:r>
        <w:t>The full licensing model — components, licence types, indicative cost, and the retention-enforcement route — is set out in Section 9 (Licensing).</w:t>
      </w:r>
    </w:p>
    <w:p w14:paraId="3283D8F3" w14:textId="77777777" w:rsidR="007F73D0" w:rsidRDefault="00000000">
      <w:r>
        <w:br w:type="page"/>
      </w:r>
    </w:p>
    <w:p w14:paraId="3283D8F4" w14:textId="77777777" w:rsidR="007F73D0" w:rsidRDefault="00000000">
      <w:pPr>
        <w:pStyle w:val="Heading1"/>
      </w:pPr>
      <w:bookmarkStart w:id="12" w:name="_Toc235006533"/>
      <w:r>
        <w:lastRenderedPageBreak/>
        <w:t>4. Naming conventions</w:t>
      </w:r>
      <w:bookmarkEnd w:id="12"/>
    </w:p>
    <w:p w14:paraId="3283D8F5" w14:textId="77777777" w:rsidR="007F73D0" w:rsidRDefault="00000000">
      <w:pPr>
        <w:spacing w:after="140" w:line="276" w:lineRule="auto"/>
      </w:pPr>
      <w:r>
        <w:t>Consistent naming is what keeps a low-code solution readable a year later, when someone other than the builder needs to find, understand, or change a component. The conventions below apply to every artefact in the solution. The publisher prefix is 'rev'.</w:t>
      </w:r>
    </w:p>
    <w:p w14:paraId="3283D8F6" w14:textId="77777777" w:rsidR="007F73D0" w:rsidRDefault="00000000">
      <w:pPr>
        <w:pStyle w:val="Heading2"/>
      </w:pPr>
      <w:bookmarkStart w:id="13" w:name="_Toc235006534"/>
      <w:r>
        <w:t>Environments and solution</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800"/>
        <w:gridCol w:w="3126"/>
      </w:tblGrid>
      <w:tr w:rsidR="007F73D0" w14:paraId="3283D8FA" w14:textId="77777777">
        <w:tblPrEx>
          <w:tblCellMar>
            <w:top w:w="0" w:type="dxa"/>
            <w:bottom w:w="0" w:type="dxa"/>
          </w:tblCellMar>
        </w:tblPrEx>
        <w:trPr>
          <w:tblHeader/>
        </w:trPr>
        <w:tc>
          <w:tcPr>
            <w:tcW w:w="21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8F7" w14:textId="77777777" w:rsidR="007F73D0" w:rsidRDefault="00000000">
            <w:r>
              <w:rPr>
                <w:b/>
                <w:bCs/>
                <w:color w:val="FFFFFF"/>
                <w:sz w:val="19"/>
                <w:szCs w:val="19"/>
              </w:rPr>
              <w:t>Element</w:t>
            </w:r>
          </w:p>
        </w:tc>
        <w:tc>
          <w:tcPr>
            <w:tcW w:w="38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8F8" w14:textId="77777777" w:rsidR="007F73D0" w:rsidRDefault="00000000">
            <w:r>
              <w:rPr>
                <w:b/>
                <w:bCs/>
                <w:color w:val="FFFFFF"/>
                <w:sz w:val="19"/>
                <w:szCs w:val="19"/>
              </w:rPr>
              <w:t>Convention</w:t>
            </w:r>
          </w:p>
        </w:tc>
        <w:tc>
          <w:tcPr>
            <w:tcW w:w="3126"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8F9" w14:textId="77777777" w:rsidR="007F73D0" w:rsidRDefault="00000000">
            <w:r>
              <w:rPr>
                <w:b/>
                <w:bCs/>
                <w:color w:val="FFFFFF"/>
                <w:sz w:val="19"/>
                <w:szCs w:val="19"/>
              </w:rPr>
              <w:t>Example</w:t>
            </w:r>
          </w:p>
        </w:tc>
      </w:tr>
      <w:tr w:rsidR="007F73D0" w14:paraId="3283D8FE" w14:textId="77777777">
        <w:tblPrEx>
          <w:tblCellMar>
            <w:top w:w="0" w:type="dxa"/>
            <w:bottom w:w="0" w:type="dxa"/>
          </w:tblCellMar>
        </w:tblPrEx>
        <w:tc>
          <w:tcPr>
            <w:tcW w:w="21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FB" w14:textId="77777777" w:rsidR="007F73D0" w:rsidRDefault="00000000">
            <w:r>
              <w:rPr>
                <w:sz w:val="18"/>
                <w:szCs w:val="18"/>
              </w:rPr>
              <w:t>Environment</w:t>
            </w:r>
          </w:p>
        </w:tc>
        <w:tc>
          <w:tcPr>
            <w:tcW w:w="38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FC" w14:textId="77777777" w:rsidR="007F73D0" w:rsidRDefault="00000000">
            <w:r>
              <w:rPr>
                <w:sz w:val="18"/>
                <w:szCs w:val="18"/>
              </w:rPr>
              <w:t>Revitalise – Grant Automation (&lt;ENV&gt;)</w:t>
            </w:r>
          </w:p>
        </w:tc>
        <w:tc>
          <w:tcPr>
            <w:tcW w:w="31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8FD" w14:textId="77777777" w:rsidR="007F73D0" w:rsidRDefault="00000000">
            <w:r>
              <w:rPr>
                <w:sz w:val="18"/>
                <w:szCs w:val="18"/>
              </w:rPr>
              <w:t>Revitalise – Grant Automation (DEV) / (PROD)</w:t>
            </w:r>
          </w:p>
        </w:tc>
      </w:tr>
      <w:tr w:rsidR="007F73D0" w14:paraId="3283D902" w14:textId="77777777">
        <w:tblPrEx>
          <w:tblCellMar>
            <w:top w:w="0" w:type="dxa"/>
            <w:bottom w:w="0" w:type="dxa"/>
          </w:tblCellMar>
        </w:tblPrEx>
        <w:tc>
          <w:tcPr>
            <w:tcW w:w="21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8FF" w14:textId="77777777" w:rsidR="007F73D0" w:rsidRDefault="00000000">
            <w:r>
              <w:rPr>
                <w:sz w:val="18"/>
                <w:szCs w:val="18"/>
              </w:rPr>
              <w:t>Publisher</w:t>
            </w:r>
          </w:p>
        </w:tc>
        <w:tc>
          <w:tcPr>
            <w:tcW w:w="38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00" w14:textId="77777777" w:rsidR="007F73D0" w:rsidRDefault="00000000">
            <w:r>
              <w:rPr>
                <w:sz w:val="18"/>
                <w:szCs w:val="18"/>
              </w:rPr>
              <w:t>Argelis Consultancy, prefix 'rev'</w:t>
            </w:r>
          </w:p>
        </w:tc>
        <w:tc>
          <w:tcPr>
            <w:tcW w:w="31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01" w14:textId="77777777" w:rsidR="007F73D0" w:rsidRDefault="00000000">
            <w:r>
              <w:rPr>
                <w:sz w:val="18"/>
                <w:szCs w:val="18"/>
              </w:rPr>
              <w:t>Prefix: rev  ·  Display: Argelis Consultancy</w:t>
            </w:r>
          </w:p>
        </w:tc>
      </w:tr>
      <w:tr w:rsidR="007F73D0" w14:paraId="3283D906" w14:textId="77777777">
        <w:tblPrEx>
          <w:tblCellMar>
            <w:top w:w="0" w:type="dxa"/>
            <w:bottom w:w="0" w:type="dxa"/>
          </w:tblCellMar>
        </w:tblPrEx>
        <w:tc>
          <w:tcPr>
            <w:tcW w:w="21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03" w14:textId="77777777" w:rsidR="007F73D0" w:rsidRDefault="00000000">
            <w:r>
              <w:rPr>
                <w:sz w:val="18"/>
                <w:szCs w:val="18"/>
              </w:rPr>
              <w:t>Solution (unique)</w:t>
            </w:r>
          </w:p>
        </w:tc>
        <w:tc>
          <w:tcPr>
            <w:tcW w:w="38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04" w14:textId="77777777" w:rsidR="007F73D0" w:rsidRDefault="00000000">
            <w:r>
              <w:rPr>
                <w:sz w:val="18"/>
                <w:szCs w:val="18"/>
              </w:rPr>
              <w:t>RevitaliseGrantAutomation</w:t>
            </w:r>
          </w:p>
        </w:tc>
        <w:tc>
          <w:tcPr>
            <w:tcW w:w="31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05" w14:textId="77777777" w:rsidR="007F73D0" w:rsidRDefault="00000000">
            <w:r>
              <w:rPr>
                <w:sz w:val="18"/>
                <w:szCs w:val="18"/>
              </w:rPr>
              <w:t>RevitaliseGrantAutomation</w:t>
            </w:r>
          </w:p>
        </w:tc>
      </w:tr>
      <w:tr w:rsidR="007F73D0" w14:paraId="3283D90A" w14:textId="77777777">
        <w:tblPrEx>
          <w:tblCellMar>
            <w:top w:w="0" w:type="dxa"/>
            <w:bottom w:w="0" w:type="dxa"/>
          </w:tblCellMar>
        </w:tblPrEx>
        <w:tc>
          <w:tcPr>
            <w:tcW w:w="21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07" w14:textId="77777777" w:rsidR="007F73D0" w:rsidRDefault="00000000">
            <w:r>
              <w:rPr>
                <w:sz w:val="18"/>
                <w:szCs w:val="18"/>
              </w:rPr>
              <w:t>Solution (display)</w:t>
            </w:r>
          </w:p>
        </w:tc>
        <w:tc>
          <w:tcPr>
            <w:tcW w:w="38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08" w14:textId="77777777" w:rsidR="007F73D0" w:rsidRDefault="00000000">
            <w:r>
              <w:rPr>
                <w:sz w:val="18"/>
                <w:szCs w:val="18"/>
              </w:rPr>
              <w:t>Revitalise Grant Automation</w:t>
            </w:r>
          </w:p>
        </w:tc>
        <w:tc>
          <w:tcPr>
            <w:tcW w:w="31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09" w14:textId="77777777" w:rsidR="007F73D0" w:rsidRDefault="00000000">
            <w:r>
              <w:rPr>
                <w:sz w:val="18"/>
                <w:szCs w:val="18"/>
              </w:rPr>
              <w:t>Revitalise Grant Automation</w:t>
            </w:r>
          </w:p>
        </w:tc>
      </w:tr>
    </w:tbl>
    <w:p w14:paraId="3283D90B" w14:textId="77777777" w:rsidR="007F73D0" w:rsidRDefault="00000000">
      <w:pPr>
        <w:pStyle w:val="Heading2"/>
      </w:pPr>
      <w:bookmarkStart w:id="14" w:name="_Toc235006535"/>
      <w:r>
        <w:t>Power Automate flows</w:t>
      </w:r>
      <w:bookmarkEnd w:id="14"/>
    </w:p>
    <w:p w14:paraId="3283D90C" w14:textId="77777777" w:rsidR="007F73D0" w:rsidRDefault="00000000">
      <w:pPr>
        <w:spacing w:after="140" w:line="276" w:lineRule="auto"/>
      </w:pPr>
      <w:r>
        <w:t xml:space="preserve">Pattern: </w:t>
      </w:r>
      <w:r>
        <w:rPr>
          <w:b/>
          <w:bCs/>
        </w:rPr>
        <w:t>REV | &lt;Automation&gt; | &lt;Action&gt;</w:t>
      </w:r>
      <w:r>
        <w:t>. The automation segment ties each flow back to its number in the Solution Design and WBS, so the whole set sorts and groups logically.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2600"/>
        <w:gridCol w:w="2526"/>
      </w:tblGrid>
      <w:tr w:rsidR="007F73D0" w14:paraId="3283D910" w14:textId="77777777">
        <w:tblPrEx>
          <w:tblCellMar>
            <w:top w:w="0" w:type="dxa"/>
            <w:bottom w:w="0" w:type="dxa"/>
          </w:tblCellMar>
        </w:tblPrEx>
        <w:trPr>
          <w:tblHeader/>
        </w:trPr>
        <w:tc>
          <w:tcPr>
            <w:tcW w:w="39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0D" w14:textId="77777777" w:rsidR="007F73D0" w:rsidRDefault="00000000">
            <w:r>
              <w:rPr>
                <w:b/>
                <w:bCs/>
                <w:color w:val="FFFFFF"/>
                <w:sz w:val="19"/>
                <w:szCs w:val="19"/>
              </w:rPr>
              <w:t>Flow name</w:t>
            </w:r>
          </w:p>
        </w:tc>
        <w:tc>
          <w:tcPr>
            <w:tcW w:w="26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0E" w14:textId="77777777" w:rsidR="007F73D0" w:rsidRDefault="00000000">
            <w:r>
              <w:rPr>
                <w:b/>
                <w:bCs/>
                <w:color w:val="FFFFFF"/>
                <w:sz w:val="19"/>
                <w:szCs w:val="19"/>
              </w:rPr>
              <w:t>Automation</w:t>
            </w:r>
          </w:p>
        </w:tc>
        <w:tc>
          <w:tcPr>
            <w:tcW w:w="2526"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0F" w14:textId="77777777" w:rsidR="007F73D0" w:rsidRDefault="00000000">
            <w:r>
              <w:rPr>
                <w:b/>
                <w:bCs/>
                <w:color w:val="FFFFFF"/>
                <w:sz w:val="19"/>
                <w:szCs w:val="19"/>
              </w:rPr>
              <w:t>Trigger</w:t>
            </w:r>
          </w:p>
        </w:tc>
      </w:tr>
      <w:tr w:rsidR="007F73D0" w14:paraId="3283D914" w14:textId="77777777">
        <w:tblPrEx>
          <w:tblCellMar>
            <w:top w:w="0" w:type="dxa"/>
            <w:bottom w:w="0" w:type="dxa"/>
          </w:tblCellMar>
        </w:tblPrEx>
        <w:tc>
          <w:tcPr>
            <w:tcW w:w="3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11" w14:textId="77777777" w:rsidR="007F73D0" w:rsidRDefault="00000000">
            <w:r>
              <w:rPr>
                <w:sz w:val="18"/>
                <w:szCs w:val="18"/>
              </w:rPr>
              <w:t>REV | Intake | WordPress to Dataverse</w:t>
            </w:r>
          </w:p>
        </w:tc>
        <w:tc>
          <w:tcPr>
            <w:tcW w:w="26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12" w14:textId="77777777" w:rsidR="007F73D0" w:rsidRDefault="00000000">
            <w:r>
              <w:rPr>
                <w:sz w:val="18"/>
                <w:szCs w:val="18"/>
              </w:rPr>
              <w:t>#4 Intake</w:t>
            </w:r>
          </w:p>
        </w:tc>
        <w:tc>
          <w:tcPr>
            <w:tcW w:w="25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13" w14:textId="77777777" w:rsidR="007F73D0" w:rsidRDefault="00000000">
            <w:r>
              <w:rPr>
                <w:sz w:val="18"/>
                <w:szCs w:val="18"/>
              </w:rPr>
              <w:t>HTTP webhook (fallback: scheduled / email)</w:t>
            </w:r>
          </w:p>
        </w:tc>
      </w:tr>
      <w:tr w:rsidR="007F73D0" w14:paraId="3283D918" w14:textId="77777777">
        <w:tblPrEx>
          <w:tblCellMar>
            <w:top w:w="0" w:type="dxa"/>
            <w:bottom w:w="0" w:type="dxa"/>
          </w:tblCellMar>
        </w:tblPrEx>
        <w:tc>
          <w:tcPr>
            <w:tcW w:w="3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15" w14:textId="77777777" w:rsidR="007F73D0" w:rsidRDefault="00000000">
            <w:r>
              <w:rPr>
                <w:sz w:val="18"/>
                <w:szCs w:val="18"/>
              </w:rPr>
              <w:t>REV | Scoring | Calculate &amp; Flag</w:t>
            </w:r>
          </w:p>
        </w:tc>
        <w:tc>
          <w:tcPr>
            <w:tcW w:w="26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16" w14:textId="77777777" w:rsidR="007F73D0" w:rsidRDefault="00000000">
            <w:r>
              <w:rPr>
                <w:sz w:val="18"/>
                <w:szCs w:val="18"/>
              </w:rPr>
              <w:t>#2 Scoring</w:t>
            </w:r>
          </w:p>
        </w:tc>
        <w:tc>
          <w:tcPr>
            <w:tcW w:w="25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17" w14:textId="77777777" w:rsidR="007F73D0" w:rsidRDefault="00000000">
            <w:r>
              <w:rPr>
                <w:sz w:val="18"/>
                <w:szCs w:val="18"/>
              </w:rPr>
              <w:t>Dataverse row created (Application)</w:t>
            </w:r>
          </w:p>
        </w:tc>
      </w:tr>
      <w:tr w:rsidR="007F73D0" w14:paraId="3283D91C" w14:textId="77777777">
        <w:tblPrEx>
          <w:tblCellMar>
            <w:top w:w="0" w:type="dxa"/>
            <w:bottom w:w="0" w:type="dxa"/>
          </w:tblCellMar>
        </w:tblPrEx>
        <w:tc>
          <w:tcPr>
            <w:tcW w:w="3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19" w14:textId="77777777" w:rsidR="007F73D0" w:rsidRDefault="00000000">
            <w:r>
              <w:rPr>
                <w:sz w:val="18"/>
                <w:szCs w:val="18"/>
              </w:rPr>
              <w:t>REV | Scoring | Daily Summary</w:t>
            </w:r>
          </w:p>
        </w:tc>
        <w:tc>
          <w:tcPr>
            <w:tcW w:w="26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1A" w14:textId="77777777" w:rsidR="007F73D0" w:rsidRDefault="00000000">
            <w:r>
              <w:rPr>
                <w:sz w:val="18"/>
                <w:szCs w:val="18"/>
              </w:rPr>
              <w:t>#2 Scoring</w:t>
            </w:r>
          </w:p>
        </w:tc>
        <w:tc>
          <w:tcPr>
            <w:tcW w:w="25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1B" w14:textId="77777777" w:rsidR="007F73D0" w:rsidRDefault="00000000">
            <w:r>
              <w:rPr>
                <w:sz w:val="18"/>
                <w:szCs w:val="18"/>
              </w:rPr>
              <w:t>Scheduled (daily)</w:t>
            </w:r>
          </w:p>
        </w:tc>
      </w:tr>
      <w:tr w:rsidR="007F73D0" w14:paraId="3283D920" w14:textId="77777777">
        <w:tblPrEx>
          <w:tblCellMar>
            <w:top w:w="0" w:type="dxa"/>
            <w:bottom w:w="0" w:type="dxa"/>
          </w:tblCellMar>
        </w:tblPrEx>
        <w:tc>
          <w:tcPr>
            <w:tcW w:w="3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1D" w14:textId="77777777" w:rsidR="007F73D0" w:rsidRDefault="00000000">
            <w:r>
              <w:rPr>
                <w:sz w:val="18"/>
                <w:szCs w:val="18"/>
              </w:rPr>
              <w:t>REV | Acceptance | Create Envelope</w:t>
            </w:r>
          </w:p>
        </w:tc>
        <w:tc>
          <w:tcPr>
            <w:tcW w:w="26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1E" w14:textId="77777777" w:rsidR="007F73D0" w:rsidRDefault="00000000">
            <w:r>
              <w:rPr>
                <w:sz w:val="18"/>
                <w:szCs w:val="18"/>
              </w:rPr>
              <w:t>#3 DocuSign</w:t>
            </w:r>
          </w:p>
        </w:tc>
        <w:tc>
          <w:tcPr>
            <w:tcW w:w="25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1F" w14:textId="77777777" w:rsidR="007F73D0" w:rsidRDefault="00000000">
            <w:r>
              <w:rPr>
                <w:sz w:val="18"/>
                <w:szCs w:val="18"/>
              </w:rPr>
              <w:t>Application status = Approved</w:t>
            </w:r>
          </w:p>
        </w:tc>
      </w:tr>
      <w:tr w:rsidR="007F73D0" w14:paraId="3283D924" w14:textId="77777777">
        <w:tblPrEx>
          <w:tblCellMar>
            <w:top w:w="0" w:type="dxa"/>
            <w:bottom w:w="0" w:type="dxa"/>
          </w:tblCellMar>
        </w:tblPrEx>
        <w:tc>
          <w:tcPr>
            <w:tcW w:w="3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21" w14:textId="77777777" w:rsidR="007F73D0" w:rsidRDefault="00000000">
            <w:r>
              <w:rPr>
                <w:sz w:val="18"/>
                <w:szCs w:val="18"/>
              </w:rPr>
              <w:t>REV | Acceptance | Reminders &amp; Escalation</w:t>
            </w:r>
          </w:p>
        </w:tc>
        <w:tc>
          <w:tcPr>
            <w:tcW w:w="26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22" w14:textId="77777777" w:rsidR="007F73D0" w:rsidRDefault="00000000">
            <w:r>
              <w:rPr>
                <w:sz w:val="18"/>
                <w:szCs w:val="18"/>
              </w:rPr>
              <w:t>#3 DocuSign</w:t>
            </w:r>
          </w:p>
        </w:tc>
        <w:tc>
          <w:tcPr>
            <w:tcW w:w="25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23" w14:textId="77777777" w:rsidR="007F73D0" w:rsidRDefault="00000000">
            <w:r>
              <w:rPr>
                <w:sz w:val="18"/>
                <w:szCs w:val="18"/>
              </w:rPr>
              <w:t>Scheduled / DocuSign event</w:t>
            </w:r>
          </w:p>
        </w:tc>
      </w:tr>
      <w:tr w:rsidR="007F73D0" w14:paraId="3283D928" w14:textId="77777777">
        <w:tblPrEx>
          <w:tblCellMar>
            <w:top w:w="0" w:type="dxa"/>
            <w:bottom w:w="0" w:type="dxa"/>
          </w:tblCellMar>
        </w:tblPrEx>
        <w:tc>
          <w:tcPr>
            <w:tcW w:w="3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25" w14:textId="77777777" w:rsidR="007F73D0" w:rsidRDefault="00000000">
            <w:r>
              <w:rPr>
                <w:sz w:val="18"/>
                <w:szCs w:val="18"/>
              </w:rPr>
              <w:t>REV | Acceptance | Completion</w:t>
            </w:r>
          </w:p>
        </w:tc>
        <w:tc>
          <w:tcPr>
            <w:tcW w:w="26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26" w14:textId="77777777" w:rsidR="007F73D0" w:rsidRDefault="00000000">
            <w:r>
              <w:rPr>
                <w:sz w:val="18"/>
                <w:szCs w:val="18"/>
              </w:rPr>
              <w:t>#3 DocuSign</w:t>
            </w:r>
          </w:p>
        </w:tc>
        <w:tc>
          <w:tcPr>
            <w:tcW w:w="25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27" w14:textId="77777777" w:rsidR="007F73D0" w:rsidRDefault="00000000">
            <w:r>
              <w:rPr>
                <w:sz w:val="18"/>
                <w:szCs w:val="18"/>
              </w:rPr>
              <w:t>DocuSign envelope completed</w:t>
            </w:r>
          </w:p>
        </w:tc>
      </w:tr>
      <w:tr w:rsidR="007F73D0" w14:paraId="3283D92C" w14:textId="77777777">
        <w:tblPrEx>
          <w:tblCellMar>
            <w:top w:w="0" w:type="dxa"/>
            <w:bottom w:w="0" w:type="dxa"/>
          </w:tblCellMar>
        </w:tblPrEx>
        <w:tc>
          <w:tcPr>
            <w:tcW w:w="3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29" w14:textId="77777777" w:rsidR="007F73D0" w:rsidRDefault="00000000">
            <w:r>
              <w:rPr>
                <w:sz w:val="18"/>
                <w:szCs w:val="18"/>
              </w:rPr>
              <w:t>REV | Narrative | Scrub Free-Text</w:t>
            </w:r>
          </w:p>
        </w:tc>
        <w:tc>
          <w:tcPr>
            <w:tcW w:w="26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2A" w14:textId="77777777" w:rsidR="007F73D0" w:rsidRDefault="00000000">
            <w:r>
              <w:rPr>
                <w:sz w:val="18"/>
                <w:szCs w:val="18"/>
              </w:rPr>
              <w:t>#5 Narrative scrubbing</w:t>
            </w:r>
          </w:p>
        </w:tc>
        <w:tc>
          <w:tcPr>
            <w:tcW w:w="25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2B" w14:textId="77777777" w:rsidR="007F73D0" w:rsidRDefault="00000000">
            <w:r>
              <w:rPr>
                <w:sz w:val="18"/>
                <w:szCs w:val="18"/>
              </w:rPr>
              <w:t>Dataverse row updated (Approved)</w:t>
            </w:r>
          </w:p>
        </w:tc>
      </w:tr>
      <w:tr w:rsidR="007F73D0" w14:paraId="3283D930" w14:textId="77777777">
        <w:tblPrEx>
          <w:tblCellMar>
            <w:top w:w="0" w:type="dxa"/>
            <w:bottom w:w="0" w:type="dxa"/>
          </w:tblCellMar>
        </w:tblPrEx>
        <w:tc>
          <w:tcPr>
            <w:tcW w:w="3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2D" w14:textId="77777777" w:rsidR="007F73D0" w:rsidRDefault="00000000">
            <w:r>
              <w:rPr>
                <w:sz w:val="18"/>
                <w:szCs w:val="18"/>
              </w:rPr>
              <w:t>REV | Portal | Finalise Decisions</w:t>
            </w:r>
          </w:p>
        </w:tc>
        <w:tc>
          <w:tcPr>
            <w:tcW w:w="26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2E" w14:textId="77777777" w:rsidR="007F73D0" w:rsidRDefault="00000000">
            <w:r>
              <w:rPr>
                <w:sz w:val="18"/>
                <w:szCs w:val="18"/>
              </w:rPr>
              <w:t>#6 Portal</w:t>
            </w:r>
          </w:p>
        </w:tc>
        <w:tc>
          <w:tcPr>
            <w:tcW w:w="25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2F" w14:textId="77777777" w:rsidR="007F73D0" w:rsidRDefault="00000000">
            <w:r>
              <w:rPr>
                <w:sz w:val="18"/>
                <w:szCs w:val="18"/>
              </w:rPr>
              <w:t>Manual (Emily) after board</w:t>
            </w:r>
          </w:p>
        </w:tc>
      </w:tr>
      <w:tr w:rsidR="007F73D0" w14:paraId="3283D934" w14:textId="77777777">
        <w:tblPrEx>
          <w:tblCellMar>
            <w:top w:w="0" w:type="dxa"/>
            <w:bottom w:w="0" w:type="dxa"/>
          </w:tblCellMar>
        </w:tblPrEx>
        <w:tc>
          <w:tcPr>
            <w:tcW w:w="3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31" w14:textId="77777777" w:rsidR="007F73D0" w:rsidRDefault="00000000">
            <w:r>
              <w:rPr>
                <w:sz w:val="18"/>
                <w:szCs w:val="18"/>
              </w:rPr>
              <w:t>REV | Duplicate | QBO Check</w:t>
            </w:r>
          </w:p>
        </w:tc>
        <w:tc>
          <w:tcPr>
            <w:tcW w:w="26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32" w14:textId="77777777" w:rsidR="007F73D0" w:rsidRDefault="00000000">
            <w:r>
              <w:rPr>
                <w:sz w:val="18"/>
                <w:szCs w:val="18"/>
              </w:rPr>
              <w:t>#7 Duplicate check</w:t>
            </w:r>
          </w:p>
        </w:tc>
        <w:tc>
          <w:tcPr>
            <w:tcW w:w="25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33" w14:textId="77777777" w:rsidR="007F73D0" w:rsidRDefault="00000000">
            <w:r>
              <w:rPr>
                <w:sz w:val="18"/>
                <w:szCs w:val="18"/>
              </w:rPr>
              <w:t>Payment row created (child flow)</w:t>
            </w:r>
          </w:p>
        </w:tc>
      </w:tr>
      <w:tr w:rsidR="007F73D0" w14:paraId="3283D938" w14:textId="77777777">
        <w:tblPrEx>
          <w:tblCellMar>
            <w:top w:w="0" w:type="dxa"/>
            <w:bottom w:w="0" w:type="dxa"/>
          </w:tblCellMar>
        </w:tblPrEx>
        <w:tc>
          <w:tcPr>
            <w:tcW w:w="3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35" w14:textId="77777777" w:rsidR="007F73D0" w:rsidRDefault="00000000">
            <w:r>
              <w:rPr>
                <w:sz w:val="18"/>
                <w:szCs w:val="18"/>
              </w:rPr>
              <w:t>REV | Finance | Capture Payment</w:t>
            </w:r>
          </w:p>
        </w:tc>
        <w:tc>
          <w:tcPr>
            <w:tcW w:w="26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36" w14:textId="77777777" w:rsidR="007F73D0" w:rsidRDefault="00000000">
            <w:r>
              <w:rPr>
                <w:sz w:val="18"/>
                <w:szCs w:val="18"/>
              </w:rPr>
              <w:t>#8 Finance</w:t>
            </w:r>
          </w:p>
        </w:tc>
        <w:tc>
          <w:tcPr>
            <w:tcW w:w="25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37" w14:textId="77777777" w:rsidR="007F73D0" w:rsidRDefault="00000000">
            <w:r>
              <w:rPr>
                <w:sz w:val="18"/>
                <w:szCs w:val="18"/>
              </w:rPr>
              <w:t>Manual (finance role)</w:t>
            </w:r>
          </w:p>
        </w:tc>
      </w:tr>
    </w:tbl>
    <w:p w14:paraId="3283D939" w14:textId="77777777" w:rsidR="007F73D0" w:rsidRDefault="00000000">
      <w:pPr>
        <w:pStyle w:val="Heading2"/>
      </w:pPr>
      <w:bookmarkStart w:id="15" w:name="_Toc235006536"/>
      <w:r>
        <w:t>Dataverse, connections and columns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
        <w:gridCol w:w="2063"/>
        <w:gridCol w:w="3882"/>
        <w:gridCol w:w="3023"/>
        <w:gridCol w:w="29"/>
      </w:tblGrid>
      <w:tr w:rsidR="007F73D0" w14:paraId="3283D93D" w14:textId="77777777">
        <w:tblPrEx>
          <w:tblCellMar>
            <w:top w:w="0" w:type="dxa"/>
            <w:bottom w:w="0" w:type="dxa"/>
          </w:tblCellMar>
        </w:tblPrEx>
        <w:trPr>
          <w:gridAfter w:val="1"/>
          <w:wAfter w:w="29" w:type="dxa"/>
          <w:tblHeader/>
        </w:trPr>
        <w:tc>
          <w:tcPr>
            <w:tcW w:w="2100" w:type="dxa"/>
            <w:gridSpan w:val="2"/>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3A" w14:textId="77777777" w:rsidR="007F73D0" w:rsidRDefault="00000000">
            <w:r>
              <w:rPr>
                <w:b/>
                <w:bCs/>
                <w:color w:val="FFFFFF"/>
                <w:sz w:val="19"/>
                <w:szCs w:val="19"/>
              </w:rPr>
              <w:t>Element</w:t>
            </w:r>
          </w:p>
        </w:tc>
        <w:tc>
          <w:tcPr>
            <w:tcW w:w="39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3B" w14:textId="77777777" w:rsidR="007F73D0" w:rsidRDefault="00000000">
            <w:r>
              <w:rPr>
                <w:b/>
                <w:bCs/>
                <w:color w:val="FFFFFF"/>
                <w:sz w:val="19"/>
                <w:szCs w:val="19"/>
              </w:rPr>
              <w:t>Convention</w:t>
            </w:r>
          </w:p>
        </w:tc>
        <w:tc>
          <w:tcPr>
            <w:tcW w:w="3026"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3C" w14:textId="77777777" w:rsidR="007F73D0" w:rsidRDefault="00000000">
            <w:r>
              <w:rPr>
                <w:b/>
                <w:bCs/>
                <w:color w:val="FFFFFF"/>
                <w:sz w:val="19"/>
                <w:szCs w:val="19"/>
              </w:rPr>
              <w:t>Example</w:t>
            </w:r>
          </w:p>
        </w:tc>
      </w:tr>
      <w:tr w:rsidR="007F73D0" w14:paraId="3283D941" w14:textId="77777777">
        <w:tblPrEx>
          <w:tblCellMar>
            <w:top w:w="0" w:type="dxa"/>
            <w:bottom w:w="0" w:type="dxa"/>
          </w:tblCellMar>
        </w:tblPrEx>
        <w:trPr>
          <w:gridAfter w:val="1"/>
          <w:wAfter w:w="29" w:type="dxa"/>
        </w:trPr>
        <w:tc>
          <w:tcPr>
            <w:tcW w:w="2100" w:type="dxa"/>
            <w:gridSpan w:val="2"/>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3E" w14:textId="77777777" w:rsidR="007F73D0" w:rsidRDefault="00000000">
            <w:r>
              <w:rPr>
                <w:sz w:val="18"/>
                <w:szCs w:val="18"/>
              </w:rPr>
              <w:t>Signed-doc library (SharePoint)</w:t>
            </w:r>
          </w:p>
        </w:tc>
        <w:tc>
          <w:tcPr>
            <w:tcW w:w="3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3F" w14:textId="77777777" w:rsidR="007F73D0" w:rsidRDefault="00000000">
            <w:r>
              <w:rPr>
                <w:sz w:val="18"/>
                <w:szCs w:val="18"/>
              </w:rPr>
              <w:t>One library, signed DocuSign PDFs only</w:t>
            </w:r>
          </w:p>
        </w:tc>
        <w:tc>
          <w:tcPr>
            <w:tcW w:w="30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40" w14:textId="77777777" w:rsidR="007F73D0" w:rsidRDefault="00000000">
            <w:r>
              <w:rPr>
                <w:sz w:val="18"/>
                <w:szCs w:val="18"/>
              </w:rPr>
              <w:t>/sites/grants — linked by URL on Grant</w:t>
            </w:r>
          </w:p>
        </w:tc>
      </w:tr>
      <w:tr w:rsidR="007F73D0" w14:paraId="3283D945" w14:textId="77777777">
        <w:tblPrEx>
          <w:tblCellMar>
            <w:top w:w="0" w:type="dxa"/>
            <w:bottom w:w="0" w:type="dxa"/>
          </w:tblCellMar>
        </w:tblPrEx>
        <w:trPr>
          <w:gridAfter w:val="1"/>
          <w:wAfter w:w="29" w:type="dxa"/>
        </w:trPr>
        <w:tc>
          <w:tcPr>
            <w:tcW w:w="2100" w:type="dxa"/>
            <w:gridSpan w:val="2"/>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42" w14:textId="77777777" w:rsidR="007F73D0" w:rsidRDefault="00000000">
            <w:r>
              <w:rPr>
                <w:sz w:val="18"/>
                <w:szCs w:val="18"/>
              </w:rPr>
              <w:t>Dataverse table</w:t>
            </w:r>
          </w:p>
        </w:tc>
        <w:tc>
          <w:tcPr>
            <w:tcW w:w="3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43" w14:textId="77777777" w:rsidR="007F73D0" w:rsidRDefault="00000000">
            <w:r>
              <w:rPr>
                <w:sz w:val="18"/>
                <w:szCs w:val="18"/>
              </w:rPr>
              <w:t>Singular PascalCase</w:t>
            </w:r>
          </w:p>
        </w:tc>
        <w:tc>
          <w:tcPr>
            <w:tcW w:w="30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44" w14:textId="77777777" w:rsidR="007F73D0" w:rsidRDefault="00000000">
            <w:r>
              <w:rPr>
                <w:sz w:val="18"/>
                <w:szCs w:val="18"/>
              </w:rPr>
              <w:t>Applicant · Application · Review · Grant · Provider · BankAccount · Payment</w:t>
            </w:r>
          </w:p>
        </w:tc>
      </w:tr>
      <w:tr w:rsidR="007F73D0" w14:paraId="3283D949" w14:textId="77777777">
        <w:tblPrEx>
          <w:tblCellMar>
            <w:top w:w="0" w:type="dxa"/>
            <w:bottom w:w="0" w:type="dxa"/>
          </w:tblCellMar>
        </w:tblPrEx>
        <w:trPr>
          <w:gridAfter w:val="1"/>
          <w:wAfter w:w="29" w:type="dxa"/>
        </w:trPr>
        <w:tc>
          <w:tcPr>
            <w:tcW w:w="2100" w:type="dxa"/>
            <w:gridSpan w:val="2"/>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46" w14:textId="77777777" w:rsidR="007F73D0" w:rsidRDefault="00000000">
            <w:r>
              <w:rPr>
                <w:sz w:val="18"/>
                <w:szCs w:val="18"/>
              </w:rPr>
              <w:t>Column (Dataverse)</w:t>
            </w:r>
          </w:p>
        </w:tc>
        <w:tc>
          <w:tcPr>
            <w:tcW w:w="3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47" w14:textId="77777777" w:rsidR="007F73D0" w:rsidRDefault="00000000">
            <w:r>
              <w:rPr>
                <w:sz w:val="18"/>
                <w:szCs w:val="18"/>
              </w:rPr>
              <w:t>PascalCase display, rev_ logical prefix</w:t>
            </w:r>
          </w:p>
        </w:tc>
        <w:tc>
          <w:tcPr>
            <w:tcW w:w="30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48" w14:textId="77777777" w:rsidR="007F73D0" w:rsidRDefault="00000000">
            <w:r>
              <w:rPr>
                <w:sz w:val="18"/>
                <w:szCs w:val="18"/>
              </w:rPr>
              <w:t>OverallScore · ApplicationStatus · AmountRequested</w:t>
            </w:r>
          </w:p>
        </w:tc>
      </w:tr>
      <w:tr w:rsidR="007F73D0" w14:paraId="3283D94D" w14:textId="77777777">
        <w:tblPrEx>
          <w:tblCellMar>
            <w:top w:w="0" w:type="dxa"/>
            <w:bottom w:w="0" w:type="dxa"/>
          </w:tblCellMar>
        </w:tblPrEx>
        <w:trPr>
          <w:gridAfter w:val="1"/>
          <w:wAfter w:w="29" w:type="dxa"/>
        </w:trPr>
        <w:tc>
          <w:tcPr>
            <w:tcW w:w="2100" w:type="dxa"/>
            <w:gridSpan w:val="2"/>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4A" w14:textId="77777777" w:rsidR="007F73D0" w:rsidRDefault="00000000">
            <w:r>
              <w:rPr>
                <w:sz w:val="18"/>
                <w:szCs w:val="18"/>
              </w:rPr>
              <w:lastRenderedPageBreak/>
              <w:t>Autonumber keys</w:t>
            </w:r>
          </w:p>
        </w:tc>
        <w:tc>
          <w:tcPr>
            <w:tcW w:w="3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4B" w14:textId="77777777" w:rsidR="007F73D0" w:rsidRDefault="00000000">
            <w:r>
              <w:rPr>
                <w:sz w:val="18"/>
                <w:szCs w:val="18"/>
              </w:rPr>
              <w:t>Per table</w:t>
            </w:r>
          </w:p>
        </w:tc>
        <w:tc>
          <w:tcPr>
            <w:tcW w:w="30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4C" w14:textId="77777777" w:rsidR="007F73D0" w:rsidRDefault="00000000">
            <w:r>
              <w:rPr>
                <w:sz w:val="18"/>
                <w:szCs w:val="18"/>
              </w:rPr>
              <w:t>Applicant REV-A-00001 · Application GA-2026-00001</w:t>
            </w:r>
          </w:p>
        </w:tc>
      </w:tr>
      <w:tr w:rsidR="007F73D0" w14:paraId="3283D951" w14:textId="77777777">
        <w:tblPrEx>
          <w:tblCellMar>
            <w:top w:w="0" w:type="dxa"/>
            <w:bottom w:w="0" w:type="dxa"/>
          </w:tblCellMar>
        </w:tblPrEx>
        <w:trPr>
          <w:gridAfter w:val="1"/>
          <w:wAfter w:w="29" w:type="dxa"/>
        </w:trPr>
        <w:tc>
          <w:tcPr>
            <w:tcW w:w="2100" w:type="dxa"/>
            <w:gridSpan w:val="2"/>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4E" w14:textId="77777777" w:rsidR="007F73D0" w:rsidRDefault="00000000">
            <w:r>
              <w:rPr>
                <w:sz w:val="18"/>
                <w:szCs w:val="18"/>
              </w:rPr>
              <w:t>Connection reference</w:t>
            </w:r>
          </w:p>
        </w:tc>
        <w:tc>
          <w:tcPr>
            <w:tcW w:w="3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4F" w14:textId="77777777" w:rsidR="007F73D0" w:rsidRDefault="00000000">
            <w:r>
              <w:rPr>
                <w:sz w:val="18"/>
                <w:szCs w:val="18"/>
              </w:rPr>
              <w:t>rev-&lt;Service&gt;</w:t>
            </w:r>
          </w:p>
        </w:tc>
        <w:tc>
          <w:tcPr>
            <w:tcW w:w="30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50" w14:textId="77777777" w:rsidR="007F73D0" w:rsidRDefault="00000000">
            <w:r>
              <w:rPr>
                <w:sz w:val="18"/>
                <w:szCs w:val="18"/>
              </w:rPr>
              <w:t>rev-dataverse · rev-docusign · rev-qbo · rev-outlook</w:t>
            </w:r>
          </w:p>
        </w:tc>
      </w:tr>
      <w:tr w:rsidR="007F73D0" w14:paraId="3283D955" w14:textId="77777777">
        <w:tblPrEx>
          <w:tblCellMar>
            <w:top w:w="0" w:type="dxa"/>
            <w:bottom w:w="0" w:type="dxa"/>
          </w:tblCellMar>
        </w:tblPrEx>
        <w:trPr>
          <w:gridAfter w:val="1"/>
          <w:wAfter w:w="29" w:type="dxa"/>
        </w:trPr>
        <w:tc>
          <w:tcPr>
            <w:tcW w:w="2100" w:type="dxa"/>
            <w:gridSpan w:val="2"/>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52" w14:textId="77777777" w:rsidR="007F73D0" w:rsidRDefault="00000000">
            <w:r>
              <w:rPr>
                <w:sz w:val="18"/>
                <w:szCs w:val="18"/>
              </w:rPr>
              <w:t>Environment variable</w:t>
            </w:r>
          </w:p>
        </w:tc>
        <w:tc>
          <w:tcPr>
            <w:tcW w:w="3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53" w14:textId="77777777" w:rsidR="007F73D0" w:rsidRDefault="00000000">
            <w:r>
              <w:rPr>
                <w:sz w:val="18"/>
                <w:szCs w:val="18"/>
              </w:rPr>
              <w:t>rev_&lt;Purpose&gt;</w:t>
            </w:r>
          </w:p>
        </w:tc>
        <w:tc>
          <w:tcPr>
            <w:tcW w:w="30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54" w14:textId="77777777" w:rsidR="007F73D0" w:rsidRDefault="00000000">
            <w:r>
              <w:rPr>
                <w:sz w:val="18"/>
                <w:szCs w:val="18"/>
              </w:rPr>
              <w:t>rev_SignedDocLibrary · rev_ServiceMailbox · rev_DefaultThreshold</w:t>
            </w:r>
          </w:p>
        </w:tc>
      </w:tr>
      <w:tr w:rsidR="007F73D0" w14:paraId="3283D959" w14:textId="77777777">
        <w:tblPrEx>
          <w:tblCellMar>
            <w:top w:w="0" w:type="dxa"/>
            <w:bottom w:w="0" w:type="dxa"/>
          </w:tblCellMar>
        </w:tblPrEx>
        <w:trPr>
          <w:gridAfter w:val="1"/>
          <w:wAfter w:w="29" w:type="dxa"/>
        </w:trPr>
        <w:tc>
          <w:tcPr>
            <w:tcW w:w="2100" w:type="dxa"/>
            <w:gridSpan w:val="2"/>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56" w14:textId="77777777" w:rsidR="007F73D0" w:rsidRDefault="00000000">
            <w:r>
              <w:rPr>
                <w:sz w:val="18"/>
                <w:szCs w:val="18"/>
              </w:rPr>
              <w:t>Service account</w:t>
            </w:r>
          </w:p>
        </w:tc>
        <w:tc>
          <w:tcPr>
            <w:tcW w:w="3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57" w14:textId="77777777" w:rsidR="007F73D0" w:rsidRDefault="00000000">
            <w:r>
              <w:rPr>
                <w:sz w:val="18"/>
                <w:szCs w:val="18"/>
              </w:rPr>
              <w:t>svc-&lt;purpose&gt;@&lt;domain&gt;</w:t>
            </w:r>
          </w:p>
        </w:tc>
        <w:tc>
          <w:tcPr>
            <w:tcW w:w="30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58" w14:textId="77777777" w:rsidR="007F73D0" w:rsidRDefault="00000000">
            <w:r>
              <w:rPr>
                <w:sz w:val="18"/>
                <w:szCs w:val="18"/>
              </w:rPr>
              <w:t>svc-grantautomation@revitalise.org</w:t>
            </w:r>
          </w:p>
        </w:tc>
      </w:tr>
      <w:tr w:rsidR="007F73D0" w14:paraId="3283D95C" w14:textId="77777777">
        <w:tblPrEx>
          <w:tblCellMar>
            <w:top w:w="0" w:type="dxa"/>
            <w:bottom w:w="0" w:type="dxa"/>
          </w:tblCellMar>
        </w:tblPrEx>
        <w:trPr>
          <w:gridBefore w:val="1"/>
          <w:wBefore w:w="29" w:type="dxa"/>
        </w:trPr>
        <w:tc>
          <w:tcPr>
            <w:tcW w:w="9026" w:type="dxa"/>
            <w:gridSpan w:val="4"/>
            <w:tcBorders>
              <w:top w:val="single" w:sz="2" w:space="0" w:color="F7F5F2"/>
              <w:left w:val="single" w:sz="24" w:space="0" w:color="C99A52"/>
              <w:bottom w:val="single" w:sz="2" w:space="0" w:color="F7F5F2"/>
              <w:right w:val="single" w:sz="2" w:space="0" w:color="F7F5F2"/>
            </w:tcBorders>
            <w:shd w:val="clear" w:color="auto" w:fill="F7F5F2"/>
            <w:tcMar>
              <w:top w:w="120" w:type="dxa"/>
              <w:left w:w="200" w:type="dxa"/>
              <w:bottom w:w="120" w:type="dxa"/>
              <w:right w:w="160" w:type="dxa"/>
            </w:tcMar>
          </w:tcPr>
          <w:p w14:paraId="3283D95A" w14:textId="77777777" w:rsidR="007F73D0" w:rsidRDefault="00000000">
            <w:pPr>
              <w:spacing w:after="60"/>
            </w:pPr>
            <w:r>
              <w:rPr>
                <w:b/>
                <w:bCs/>
                <w:color w:val="05132A"/>
                <w:sz w:val="20"/>
                <w:szCs w:val="20"/>
              </w:rPr>
              <w:t>Why environment variables and connection references</w:t>
            </w:r>
          </w:p>
          <w:p w14:paraId="3283D95B" w14:textId="77777777" w:rsidR="007F73D0" w:rsidRDefault="00000000">
            <w:pPr>
              <w:spacing w:after="40"/>
            </w:pPr>
            <w:r>
              <w:rPr>
                <w:sz w:val="20"/>
                <w:szCs w:val="20"/>
              </w:rPr>
              <w:t>Both are what make the solution portable. Connection references mean a flow points to 'the Dataverse connection' rather than a hard-wired login, so it re-binds cleanly in PROD. Environment variables hold anything that differs between DEV and PROD (URLs, the service mailbox, default thresholds) so no flow is edited during deployment.</w:t>
            </w:r>
          </w:p>
        </w:tc>
      </w:tr>
    </w:tbl>
    <w:p w14:paraId="3283D95D" w14:textId="77777777" w:rsidR="007F73D0" w:rsidRDefault="00000000">
      <w:r>
        <w:br w:type="page"/>
      </w:r>
    </w:p>
    <w:p w14:paraId="3283D95E" w14:textId="77777777" w:rsidR="007F73D0" w:rsidRDefault="00000000">
      <w:pPr>
        <w:pStyle w:val="Heading1"/>
      </w:pPr>
      <w:bookmarkStart w:id="16" w:name="_Toc235006537"/>
      <w:r>
        <w:lastRenderedPageBreak/>
        <w:t>5. Component map</w:t>
      </w:r>
      <w:bookmarkEnd w:id="16"/>
    </w:p>
    <w:p w14:paraId="3283D95F" w14:textId="77777777" w:rsidR="007F73D0" w:rsidRDefault="00000000">
      <w:pPr>
        <w:spacing w:after="140" w:line="276" w:lineRule="auto"/>
      </w:pPr>
      <w:r>
        <w:t>Every component in the solution, grouped by layer and mapped to the automation it serves. This is the master inventory: if it is not on this list, it is not part of the solution.</w:t>
      </w:r>
    </w:p>
    <w:p w14:paraId="3283D960" w14:textId="77777777" w:rsidR="007F73D0" w:rsidRDefault="00000000">
      <w:pPr>
        <w:pStyle w:val="Heading2"/>
      </w:pPr>
      <w:bookmarkStart w:id="17" w:name="_Toc235006538"/>
      <w:r>
        <w:t>Data components (Dataverse)</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7"/>
        <w:gridCol w:w="1151"/>
        <w:gridCol w:w="4113"/>
        <w:gridCol w:w="1755"/>
      </w:tblGrid>
      <w:tr w:rsidR="007F73D0" w14:paraId="3283D965" w14:textId="77777777">
        <w:tblPrEx>
          <w:tblCellMar>
            <w:top w:w="0" w:type="dxa"/>
            <w:bottom w:w="0" w:type="dxa"/>
          </w:tblCellMar>
        </w:tblPrEx>
        <w:trPr>
          <w:tblHeader/>
        </w:trPr>
        <w:tc>
          <w:tcPr>
            <w:tcW w:w="205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61" w14:textId="77777777" w:rsidR="007F73D0" w:rsidRDefault="00000000">
            <w:r>
              <w:rPr>
                <w:b/>
                <w:bCs/>
                <w:color w:val="FFFFFF"/>
                <w:sz w:val="19"/>
                <w:szCs w:val="19"/>
              </w:rPr>
              <w:t>Component</w:t>
            </w:r>
          </w:p>
        </w:tc>
        <w:tc>
          <w:tcPr>
            <w:tcW w:w="9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62" w14:textId="77777777" w:rsidR="007F73D0" w:rsidRDefault="00000000">
            <w:r>
              <w:rPr>
                <w:b/>
                <w:bCs/>
                <w:color w:val="FFFFFF"/>
                <w:sz w:val="19"/>
                <w:szCs w:val="19"/>
              </w:rPr>
              <w:t>Type</w:t>
            </w:r>
          </w:p>
        </w:tc>
        <w:tc>
          <w:tcPr>
            <w:tcW w:w="4276"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63" w14:textId="77777777" w:rsidR="007F73D0" w:rsidRDefault="00000000">
            <w:r>
              <w:rPr>
                <w:b/>
                <w:bCs/>
                <w:color w:val="FFFFFF"/>
                <w:sz w:val="19"/>
                <w:szCs w:val="19"/>
              </w:rPr>
              <w:t>Purpose</w:t>
            </w:r>
          </w:p>
        </w:tc>
        <w:tc>
          <w:tcPr>
            <w:tcW w:w="18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64" w14:textId="77777777" w:rsidR="007F73D0" w:rsidRDefault="00000000">
            <w:r>
              <w:rPr>
                <w:b/>
                <w:bCs/>
                <w:color w:val="FFFFFF"/>
                <w:sz w:val="19"/>
                <w:szCs w:val="19"/>
              </w:rPr>
              <w:t>Serves</w:t>
            </w:r>
          </w:p>
        </w:tc>
      </w:tr>
      <w:tr w:rsidR="007F73D0" w14:paraId="3283D96A" w14:textId="77777777">
        <w:tblPrEx>
          <w:tblCellMar>
            <w:top w:w="0" w:type="dxa"/>
            <w:bottom w:w="0" w:type="dxa"/>
          </w:tblCellMar>
        </w:tblPrEx>
        <w:tc>
          <w:tcPr>
            <w:tcW w:w="20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66" w14:textId="77777777" w:rsidR="007F73D0" w:rsidRDefault="00000000">
            <w:r>
              <w:rPr>
                <w:sz w:val="18"/>
                <w:szCs w:val="18"/>
              </w:rPr>
              <w:t>Applicant</w:t>
            </w:r>
          </w:p>
        </w:tc>
        <w:tc>
          <w:tcPr>
            <w:tcW w:w="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67" w14:textId="77777777" w:rsidR="007F73D0" w:rsidRDefault="00000000">
            <w:r>
              <w:rPr>
                <w:sz w:val="18"/>
                <w:szCs w:val="18"/>
              </w:rPr>
              <w:t>Table</w:t>
            </w:r>
          </w:p>
        </w:tc>
        <w:tc>
          <w:tcPr>
            <w:tcW w:w="427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68" w14:textId="77777777" w:rsidR="007F73D0" w:rsidRDefault="00000000">
            <w:r>
              <w:rPr>
                <w:sz w:val="18"/>
                <w:szCs w:val="18"/>
              </w:rPr>
              <w:t>Person stored once; PII + special-category; holds the pseudonymised ID</w:t>
            </w:r>
          </w:p>
        </w:tc>
        <w:tc>
          <w:tcPr>
            <w:tcW w:w="18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69" w14:textId="77777777" w:rsidR="007F73D0" w:rsidRDefault="00000000">
            <w:r>
              <w:rPr>
                <w:sz w:val="18"/>
                <w:szCs w:val="18"/>
              </w:rPr>
              <w:t>All</w:t>
            </w:r>
          </w:p>
        </w:tc>
      </w:tr>
      <w:tr w:rsidR="007F73D0" w14:paraId="3283D96F" w14:textId="77777777">
        <w:tblPrEx>
          <w:tblCellMar>
            <w:top w:w="0" w:type="dxa"/>
            <w:bottom w:w="0" w:type="dxa"/>
          </w:tblCellMar>
        </w:tblPrEx>
        <w:tc>
          <w:tcPr>
            <w:tcW w:w="205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6B" w14:textId="77777777" w:rsidR="007F73D0" w:rsidRDefault="00000000">
            <w:r>
              <w:rPr>
                <w:sz w:val="18"/>
                <w:szCs w:val="18"/>
              </w:rPr>
              <w:t>Application</w:t>
            </w:r>
          </w:p>
        </w:tc>
        <w:tc>
          <w:tcPr>
            <w:tcW w:w="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6C" w14:textId="77777777" w:rsidR="007F73D0" w:rsidRDefault="00000000">
            <w:r>
              <w:rPr>
                <w:sz w:val="18"/>
                <w:szCs w:val="18"/>
              </w:rPr>
              <w:t>Table</w:t>
            </w:r>
          </w:p>
        </w:tc>
        <w:tc>
          <w:tcPr>
            <w:tcW w:w="427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6D" w14:textId="77777777" w:rsidR="007F73D0" w:rsidRDefault="00000000">
            <w:r>
              <w:rPr>
                <w:sz w:val="18"/>
                <w:szCs w:val="18"/>
              </w:rPr>
              <w:t>The spine: one row per submission — score, status, flags; folds Support Recipient, Helper, Group</w:t>
            </w:r>
          </w:p>
        </w:tc>
        <w:tc>
          <w:tcPr>
            <w:tcW w:w="18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6E" w14:textId="77777777" w:rsidR="007F73D0" w:rsidRDefault="00000000">
            <w:r>
              <w:rPr>
                <w:sz w:val="18"/>
                <w:szCs w:val="18"/>
              </w:rPr>
              <w:t>All</w:t>
            </w:r>
          </w:p>
        </w:tc>
      </w:tr>
      <w:tr w:rsidR="007F73D0" w14:paraId="3283D974" w14:textId="77777777">
        <w:tblPrEx>
          <w:tblCellMar>
            <w:top w:w="0" w:type="dxa"/>
            <w:bottom w:w="0" w:type="dxa"/>
          </w:tblCellMar>
        </w:tblPrEx>
        <w:tc>
          <w:tcPr>
            <w:tcW w:w="20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70" w14:textId="77777777" w:rsidR="007F73D0" w:rsidRDefault="00000000">
            <w:r>
              <w:rPr>
                <w:sz w:val="18"/>
                <w:szCs w:val="18"/>
              </w:rPr>
              <w:t>Review</w:t>
            </w:r>
          </w:p>
        </w:tc>
        <w:tc>
          <w:tcPr>
            <w:tcW w:w="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71" w14:textId="77777777" w:rsidR="007F73D0" w:rsidRDefault="00000000">
            <w:r>
              <w:rPr>
                <w:sz w:val="18"/>
                <w:szCs w:val="18"/>
              </w:rPr>
              <w:t>Table</w:t>
            </w:r>
          </w:p>
        </w:tc>
        <w:tc>
          <w:tcPr>
            <w:tcW w:w="427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72" w14:textId="77777777" w:rsidR="007F73D0" w:rsidRDefault="00000000">
            <w:r>
              <w:rPr>
                <w:sz w:val="18"/>
                <w:szCs w:val="18"/>
              </w:rPr>
              <w:t>One row per monthly panel attempt; two trustee verdicts</w:t>
            </w:r>
          </w:p>
        </w:tc>
        <w:tc>
          <w:tcPr>
            <w:tcW w:w="18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73" w14:textId="77777777" w:rsidR="007F73D0" w:rsidRDefault="00000000">
            <w:r>
              <w:rPr>
                <w:sz w:val="18"/>
                <w:szCs w:val="18"/>
              </w:rPr>
              <w:t>#2, #6</w:t>
            </w:r>
          </w:p>
        </w:tc>
      </w:tr>
      <w:tr w:rsidR="007F73D0" w14:paraId="3283D979" w14:textId="77777777">
        <w:tblPrEx>
          <w:tblCellMar>
            <w:top w:w="0" w:type="dxa"/>
            <w:bottom w:w="0" w:type="dxa"/>
          </w:tblCellMar>
        </w:tblPrEx>
        <w:tc>
          <w:tcPr>
            <w:tcW w:w="205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75" w14:textId="77777777" w:rsidR="007F73D0" w:rsidRDefault="00000000">
            <w:r>
              <w:rPr>
                <w:sz w:val="18"/>
                <w:szCs w:val="18"/>
              </w:rPr>
              <w:t>Grant</w:t>
            </w:r>
          </w:p>
        </w:tc>
        <w:tc>
          <w:tcPr>
            <w:tcW w:w="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76" w14:textId="77777777" w:rsidR="007F73D0" w:rsidRDefault="00000000">
            <w:r>
              <w:rPr>
                <w:sz w:val="18"/>
                <w:szCs w:val="18"/>
              </w:rPr>
              <w:t>Table</w:t>
            </w:r>
          </w:p>
        </w:tc>
        <w:tc>
          <w:tcPr>
            <w:tcW w:w="427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77" w14:textId="77777777" w:rsidR="007F73D0" w:rsidRDefault="00000000">
            <w:r>
              <w:rPr>
                <w:sz w:val="18"/>
                <w:szCs w:val="18"/>
              </w:rPr>
              <w:t>Created on success; folds acceptance + impact report; links the signed PDF</w:t>
            </w:r>
          </w:p>
        </w:tc>
        <w:tc>
          <w:tcPr>
            <w:tcW w:w="18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78" w14:textId="77777777" w:rsidR="007F73D0" w:rsidRDefault="00000000">
            <w:r>
              <w:rPr>
                <w:sz w:val="18"/>
                <w:szCs w:val="18"/>
              </w:rPr>
              <w:t>#3, #6, #7</w:t>
            </w:r>
          </w:p>
        </w:tc>
      </w:tr>
      <w:tr w:rsidR="007F73D0" w14:paraId="3283D97E" w14:textId="77777777">
        <w:tblPrEx>
          <w:tblCellMar>
            <w:top w:w="0" w:type="dxa"/>
            <w:bottom w:w="0" w:type="dxa"/>
          </w:tblCellMar>
        </w:tblPrEx>
        <w:tc>
          <w:tcPr>
            <w:tcW w:w="20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7A" w14:textId="77777777" w:rsidR="007F73D0" w:rsidRDefault="00000000">
            <w:r>
              <w:rPr>
                <w:sz w:val="18"/>
                <w:szCs w:val="18"/>
              </w:rPr>
              <w:t>Provider</w:t>
            </w:r>
          </w:p>
        </w:tc>
        <w:tc>
          <w:tcPr>
            <w:tcW w:w="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7B" w14:textId="77777777" w:rsidR="007F73D0" w:rsidRDefault="00000000">
            <w:r>
              <w:rPr>
                <w:sz w:val="18"/>
                <w:szCs w:val="18"/>
              </w:rPr>
              <w:t>Table</w:t>
            </w:r>
          </w:p>
        </w:tc>
        <w:tc>
          <w:tcPr>
            <w:tcW w:w="427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7C" w14:textId="77777777" w:rsidR="007F73D0" w:rsidRDefault="00000000">
            <w:r>
              <w:rPr>
                <w:sz w:val="18"/>
                <w:szCs w:val="18"/>
              </w:rPr>
              <w:t>Reusable holiday providers</w:t>
            </w:r>
          </w:p>
        </w:tc>
        <w:tc>
          <w:tcPr>
            <w:tcW w:w="18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7D" w14:textId="77777777" w:rsidR="007F73D0" w:rsidRDefault="00000000">
            <w:r>
              <w:rPr>
                <w:sz w:val="18"/>
                <w:szCs w:val="18"/>
              </w:rPr>
              <w:t>#7, #8</w:t>
            </w:r>
          </w:p>
        </w:tc>
      </w:tr>
      <w:tr w:rsidR="007F73D0" w14:paraId="3283D983" w14:textId="77777777">
        <w:tblPrEx>
          <w:tblCellMar>
            <w:top w:w="0" w:type="dxa"/>
            <w:bottom w:w="0" w:type="dxa"/>
          </w:tblCellMar>
        </w:tblPrEx>
        <w:tc>
          <w:tcPr>
            <w:tcW w:w="20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7F" w14:textId="77777777" w:rsidR="007F73D0" w:rsidRDefault="00000000">
            <w:r>
              <w:rPr>
                <w:sz w:val="18"/>
                <w:szCs w:val="18"/>
              </w:rPr>
              <w:t>Bank Account</w:t>
            </w:r>
          </w:p>
        </w:tc>
        <w:tc>
          <w:tcPr>
            <w:tcW w:w="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80" w14:textId="77777777" w:rsidR="007F73D0" w:rsidRDefault="00000000">
            <w:r>
              <w:rPr>
                <w:sz w:val="18"/>
                <w:szCs w:val="18"/>
              </w:rPr>
              <w:t>Table</w:t>
            </w:r>
          </w:p>
        </w:tc>
        <w:tc>
          <w:tcPr>
            <w:tcW w:w="427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81" w14:textId="77777777" w:rsidR="007F73D0" w:rsidRDefault="00000000">
            <w:r>
              <w:rPr>
                <w:sz w:val="18"/>
                <w:szCs w:val="18"/>
              </w:rPr>
              <w:t>Every account paid into, held once; finance role only</w:t>
            </w:r>
          </w:p>
        </w:tc>
        <w:tc>
          <w:tcPr>
            <w:tcW w:w="18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82" w14:textId="77777777" w:rsidR="007F73D0" w:rsidRDefault="00000000">
            <w:r>
              <w:rPr>
                <w:sz w:val="18"/>
                <w:szCs w:val="18"/>
              </w:rPr>
              <w:t>#8</w:t>
            </w:r>
          </w:p>
        </w:tc>
      </w:tr>
      <w:tr w:rsidR="007F73D0" w14:paraId="3283D988" w14:textId="77777777">
        <w:tblPrEx>
          <w:tblCellMar>
            <w:top w:w="0" w:type="dxa"/>
            <w:bottom w:w="0" w:type="dxa"/>
          </w:tblCellMar>
        </w:tblPrEx>
        <w:tc>
          <w:tcPr>
            <w:tcW w:w="20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84" w14:textId="77777777" w:rsidR="007F73D0" w:rsidRDefault="00000000">
            <w:r>
              <w:rPr>
                <w:sz w:val="18"/>
                <w:szCs w:val="18"/>
              </w:rPr>
              <w:t>Payment</w:t>
            </w:r>
          </w:p>
        </w:tc>
        <w:tc>
          <w:tcPr>
            <w:tcW w:w="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85" w14:textId="77777777" w:rsidR="007F73D0" w:rsidRDefault="00000000">
            <w:r>
              <w:rPr>
                <w:sz w:val="18"/>
                <w:szCs w:val="18"/>
              </w:rPr>
              <w:t>Table</w:t>
            </w:r>
          </w:p>
        </w:tc>
        <w:tc>
          <w:tcPr>
            <w:tcW w:w="427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86" w14:textId="77777777" w:rsidR="007F73D0" w:rsidRDefault="00000000">
            <w:r>
              <w:rPr>
                <w:sz w:val="18"/>
                <w:szCs w:val="18"/>
              </w:rPr>
              <w:t>Disbursements; the duplicate-payment check matches these rows</w:t>
            </w:r>
          </w:p>
        </w:tc>
        <w:tc>
          <w:tcPr>
            <w:tcW w:w="18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87" w14:textId="77777777" w:rsidR="007F73D0" w:rsidRDefault="00000000">
            <w:r>
              <w:rPr>
                <w:sz w:val="18"/>
                <w:szCs w:val="18"/>
              </w:rPr>
              <w:t>#7, #8</w:t>
            </w:r>
          </w:p>
        </w:tc>
      </w:tr>
      <w:tr w:rsidR="007F73D0" w14:paraId="3283D98D" w14:textId="77777777">
        <w:tblPrEx>
          <w:tblCellMar>
            <w:top w:w="0" w:type="dxa"/>
            <w:bottom w:w="0" w:type="dxa"/>
          </w:tblCellMar>
        </w:tblPrEx>
        <w:tc>
          <w:tcPr>
            <w:tcW w:w="20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89" w14:textId="77777777" w:rsidR="007F73D0" w:rsidRDefault="00000000">
            <w:r>
              <w:rPr>
                <w:sz w:val="18"/>
                <w:szCs w:val="18"/>
              </w:rPr>
              <w:t>Anonymised Statistic</w:t>
            </w:r>
          </w:p>
        </w:tc>
        <w:tc>
          <w:tcPr>
            <w:tcW w:w="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8A" w14:textId="77777777" w:rsidR="007F73D0" w:rsidRDefault="00000000">
            <w:r>
              <w:rPr>
                <w:sz w:val="18"/>
                <w:szCs w:val="18"/>
              </w:rPr>
              <w:t>Snapshot + view</w:t>
            </w:r>
          </w:p>
        </w:tc>
        <w:tc>
          <w:tcPr>
            <w:tcW w:w="427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8B" w14:textId="77777777" w:rsidR="007F73D0" w:rsidRDefault="00000000">
            <w:r>
              <w:rPr>
                <w:sz w:val="18"/>
                <w:szCs w:val="18"/>
              </w:rPr>
              <w:t>Non-personal outcome stats, kept indefinitely</w:t>
            </w:r>
          </w:p>
        </w:tc>
        <w:tc>
          <w:tcPr>
            <w:tcW w:w="18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8C" w14:textId="77777777" w:rsidR="007F73D0" w:rsidRDefault="00000000">
            <w:r>
              <w:rPr>
                <w:sz w:val="18"/>
                <w:szCs w:val="18"/>
              </w:rPr>
              <w:t>Reporting</w:t>
            </w:r>
          </w:p>
        </w:tc>
      </w:tr>
      <w:tr w:rsidR="007F73D0" w14:paraId="3283D992" w14:textId="77777777">
        <w:tblPrEx>
          <w:tblCellMar>
            <w:top w:w="0" w:type="dxa"/>
            <w:bottom w:w="0" w:type="dxa"/>
          </w:tblCellMar>
        </w:tblPrEx>
        <w:tc>
          <w:tcPr>
            <w:tcW w:w="20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8E" w14:textId="77777777" w:rsidR="007F73D0" w:rsidRDefault="00000000">
            <w:r>
              <w:rPr>
                <w:sz w:val="18"/>
                <w:szCs w:val="18"/>
              </w:rPr>
              <w:t>Settings</w:t>
            </w:r>
          </w:p>
        </w:tc>
        <w:tc>
          <w:tcPr>
            <w:tcW w:w="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8F" w14:textId="77777777" w:rsidR="007F73D0" w:rsidRDefault="00000000">
            <w:r>
              <w:rPr>
                <w:sz w:val="18"/>
                <w:szCs w:val="18"/>
              </w:rPr>
              <w:t>Env. variables / table</w:t>
            </w:r>
          </w:p>
        </w:tc>
        <w:tc>
          <w:tcPr>
            <w:tcW w:w="427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90" w14:textId="77777777" w:rsidR="007F73D0" w:rsidRDefault="00000000">
            <w:r>
              <w:rPr>
                <w:sz w:val="18"/>
                <w:szCs w:val="18"/>
              </w:rPr>
              <w:t>Thresholds and mappings, editable by Emily</w:t>
            </w:r>
          </w:p>
        </w:tc>
        <w:tc>
          <w:tcPr>
            <w:tcW w:w="18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91" w14:textId="77777777" w:rsidR="007F73D0" w:rsidRDefault="00000000">
            <w:r>
              <w:rPr>
                <w:sz w:val="18"/>
                <w:szCs w:val="18"/>
              </w:rPr>
              <w:t>#2, #5</w:t>
            </w:r>
          </w:p>
        </w:tc>
      </w:tr>
      <w:tr w:rsidR="007F73D0" w14:paraId="3283D997" w14:textId="77777777">
        <w:tblPrEx>
          <w:tblCellMar>
            <w:top w:w="0" w:type="dxa"/>
            <w:bottom w:w="0" w:type="dxa"/>
          </w:tblCellMar>
        </w:tblPrEx>
        <w:tc>
          <w:tcPr>
            <w:tcW w:w="20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93" w14:textId="77777777" w:rsidR="007F73D0" w:rsidRDefault="00000000">
            <w:r>
              <w:rPr>
                <w:sz w:val="18"/>
                <w:szCs w:val="18"/>
              </w:rPr>
              <w:t>Signed acceptance PDFs</w:t>
            </w:r>
          </w:p>
        </w:tc>
        <w:tc>
          <w:tcPr>
            <w:tcW w:w="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94" w14:textId="77777777" w:rsidR="007F73D0" w:rsidRDefault="00000000">
            <w:r>
              <w:rPr>
                <w:sz w:val="18"/>
                <w:szCs w:val="18"/>
              </w:rPr>
              <w:t>SharePoint library</w:t>
            </w:r>
          </w:p>
        </w:tc>
        <w:tc>
          <w:tcPr>
            <w:tcW w:w="427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95" w14:textId="77777777" w:rsidR="007F73D0" w:rsidRDefault="00000000">
            <w:r>
              <w:rPr>
                <w:sz w:val="18"/>
                <w:szCs w:val="18"/>
              </w:rPr>
              <w:t>The one document outside Dataverse, linked by URL on Grant</w:t>
            </w:r>
          </w:p>
        </w:tc>
        <w:tc>
          <w:tcPr>
            <w:tcW w:w="18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96" w14:textId="77777777" w:rsidR="007F73D0" w:rsidRDefault="00000000">
            <w:r>
              <w:rPr>
                <w:sz w:val="18"/>
                <w:szCs w:val="18"/>
              </w:rPr>
              <w:t>#3</w:t>
            </w:r>
          </w:p>
        </w:tc>
      </w:tr>
      <w:tr w:rsidR="007F73D0" w14:paraId="3283D99C" w14:textId="77777777">
        <w:tblPrEx>
          <w:tblCellMar>
            <w:top w:w="0" w:type="dxa"/>
            <w:bottom w:w="0" w:type="dxa"/>
          </w:tblCellMar>
        </w:tblPrEx>
        <w:tc>
          <w:tcPr>
            <w:tcW w:w="20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98" w14:textId="77777777" w:rsidR="007F73D0" w:rsidRDefault="00000000">
            <w:r>
              <w:rPr>
                <w:sz w:val="18"/>
                <w:szCs w:val="18"/>
              </w:rPr>
              <w:t>Views</w:t>
            </w:r>
          </w:p>
        </w:tc>
        <w:tc>
          <w:tcPr>
            <w:tcW w:w="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99" w14:textId="77777777" w:rsidR="007F73D0" w:rsidRDefault="00000000">
            <w:r>
              <w:rPr>
                <w:sz w:val="18"/>
                <w:szCs w:val="18"/>
              </w:rPr>
              <w:t>Views</w:t>
            </w:r>
          </w:p>
        </w:tc>
        <w:tc>
          <w:tcPr>
            <w:tcW w:w="427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9A" w14:textId="77777777" w:rsidR="007F73D0" w:rsidRDefault="00000000">
            <w:r>
              <w:rPr>
                <w:sz w:val="18"/>
                <w:szCs w:val="18"/>
              </w:rPr>
              <w:t>Pending · Rejected · Borderline · Review Required</w:t>
            </w:r>
          </w:p>
        </w:tc>
        <w:tc>
          <w:tcPr>
            <w:tcW w:w="18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9B" w14:textId="77777777" w:rsidR="007F73D0" w:rsidRDefault="00000000">
            <w:r>
              <w:rPr>
                <w:sz w:val="18"/>
                <w:szCs w:val="18"/>
              </w:rPr>
              <w:t>#2, #5, #6</w:t>
            </w:r>
          </w:p>
        </w:tc>
      </w:tr>
    </w:tbl>
    <w:p w14:paraId="3283D99D" w14:textId="77777777" w:rsidR="007F73D0" w:rsidRDefault="00000000">
      <w:pPr>
        <w:pStyle w:val="Heading2"/>
      </w:pPr>
      <w:bookmarkStart w:id="18" w:name="_Toc235006539"/>
      <w:r>
        <w:t>Orchestration components (Power Automate)</w:t>
      </w:r>
      <w:bookmarkEnd w:id="18"/>
    </w:p>
    <w:p w14:paraId="3283D99E" w14:textId="77777777" w:rsidR="007F73D0" w:rsidRDefault="00000000">
      <w:pPr>
        <w:spacing w:after="140" w:line="276" w:lineRule="auto"/>
      </w:pPr>
      <w:r>
        <w:t>Ten cloud flows, all named per Section 4 (plus a light retention &amp; erasure helper flow — see Section 8). See the naming table for triggers; full logic is in the Solution Design.</w:t>
      </w:r>
    </w:p>
    <w:p w14:paraId="3283D99F" w14:textId="77777777" w:rsidR="007F73D0" w:rsidRDefault="00000000">
      <w:pPr>
        <w:pStyle w:val="ListParagraph"/>
        <w:numPr>
          <w:ilvl w:val="0"/>
          <w:numId w:val="2"/>
        </w:numPr>
        <w:spacing w:after="70" w:line="268" w:lineRule="auto"/>
      </w:pPr>
      <w:r>
        <w:t>Intake, Scoring (Calculate &amp; Flag), Scoring (Daily Summary), Acceptance (Create Envelope, Reminders &amp; Escalation, Completion), Narrative Scrubbing (free-text redaction), Portal (Finalise Decisions), Duplicate (Payment Check), Finance (Capture Payment).</w:t>
      </w:r>
    </w:p>
    <w:p w14:paraId="3283D9A0" w14:textId="77777777" w:rsidR="007F73D0" w:rsidRDefault="00000000">
      <w:pPr>
        <w:pStyle w:val="Heading2"/>
      </w:pPr>
      <w:bookmarkStart w:id="19" w:name="_Toc235006540"/>
      <w:r>
        <w:t>Experience &amp; intelligence components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1900"/>
        <w:gridCol w:w="3576"/>
        <w:gridCol w:w="1600"/>
      </w:tblGrid>
      <w:tr w:rsidR="007F73D0" w14:paraId="3283D9A5" w14:textId="77777777">
        <w:tblPrEx>
          <w:tblCellMar>
            <w:top w:w="0" w:type="dxa"/>
            <w:bottom w:w="0" w:type="dxa"/>
          </w:tblCellMar>
        </w:tblPrEx>
        <w:trPr>
          <w:tblHeader/>
        </w:trPr>
        <w:tc>
          <w:tcPr>
            <w:tcW w:w="195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A1" w14:textId="77777777" w:rsidR="007F73D0" w:rsidRDefault="00000000">
            <w:r>
              <w:rPr>
                <w:b/>
                <w:bCs/>
                <w:color w:val="FFFFFF"/>
                <w:sz w:val="19"/>
                <w:szCs w:val="19"/>
              </w:rPr>
              <w:t>Component</w:t>
            </w:r>
          </w:p>
        </w:tc>
        <w:tc>
          <w:tcPr>
            <w:tcW w:w="19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A2" w14:textId="77777777" w:rsidR="007F73D0" w:rsidRDefault="00000000">
            <w:r>
              <w:rPr>
                <w:b/>
                <w:bCs/>
                <w:color w:val="FFFFFF"/>
                <w:sz w:val="19"/>
                <w:szCs w:val="19"/>
              </w:rPr>
              <w:t>Technology</w:t>
            </w:r>
          </w:p>
        </w:tc>
        <w:tc>
          <w:tcPr>
            <w:tcW w:w="3576"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A3" w14:textId="77777777" w:rsidR="007F73D0" w:rsidRDefault="00000000">
            <w:r>
              <w:rPr>
                <w:b/>
                <w:bCs/>
                <w:color w:val="FFFFFF"/>
                <w:sz w:val="19"/>
                <w:szCs w:val="19"/>
              </w:rPr>
              <w:t>Purpose</w:t>
            </w:r>
          </w:p>
        </w:tc>
        <w:tc>
          <w:tcPr>
            <w:tcW w:w="16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A4" w14:textId="77777777" w:rsidR="007F73D0" w:rsidRDefault="00000000">
            <w:r>
              <w:rPr>
                <w:b/>
                <w:bCs/>
                <w:color w:val="FFFFFF"/>
                <w:sz w:val="19"/>
                <w:szCs w:val="19"/>
              </w:rPr>
              <w:t>Serves</w:t>
            </w:r>
          </w:p>
        </w:tc>
      </w:tr>
      <w:tr w:rsidR="007F73D0" w14:paraId="3283D9AA" w14:textId="77777777">
        <w:tblPrEx>
          <w:tblCellMar>
            <w:top w:w="0" w:type="dxa"/>
            <w:bottom w:w="0" w:type="dxa"/>
          </w:tblCellMar>
        </w:tblPrEx>
        <w:tc>
          <w:tcPr>
            <w:tcW w:w="19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A6" w14:textId="77777777" w:rsidR="007F73D0" w:rsidRDefault="00000000">
            <w:r>
              <w:rPr>
                <w:sz w:val="18"/>
                <w:szCs w:val="18"/>
              </w:rPr>
              <w:t>Application form</w:t>
            </w:r>
          </w:p>
        </w:tc>
        <w:tc>
          <w:tcPr>
            <w:tcW w:w="1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A7" w14:textId="77777777" w:rsidR="007F73D0" w:rsidRDefault="00000000">
            <w:r>
              <w:rPr>
                <w:sz w:val="18"/>
                <w:szCs w:val="18"/>
              </w:rPr>
              <w:t>WordPress (external)</w:t>
            </w:r>
          </w:p>
        </w:tc>
        <w:tc>
          <w:tcPr>
            <w:tcW w:w="357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A8" w14:textId="77777777" w:rsidR="007F73D0" w:rsidRDefault="00000000">
            <w:r>
              <w:rPr>
                <w:sz w:val="18"/>
                <w:szCs w:val="18"/>
              </w:rPr>
              <w:t>Applicant-facing form with validation and conditional logic</w:t>
            </w:r>
          </w:p>
        </w:tc>
        <w:tc>
          <w:tcPr>
            <w:tcW w:w="16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A9" w14:textId="77777777" w:rsidR="007F73D0" w:rsidRDefault="00000000">
            <w:r>
              <w:rPr>
                <w:sz w:val="18"/>
                <w:szCs w:val="18"/>
              </w:rPr>
              <w:t>#1, #4</w:t>
            </w:r>
          </w:p>
        </w:tc>
      </w:tr>
      <w:tr w:rsidR="007F73D0" w14:paraId="3283D9AF" w14:textId="77777777">
        <w:tblPrEx>
          <w:tblCellMar>
            <w:top w:w="0" w:type="dxa"/>
            <w:bottom w:w="0" w:type="dxa"/>
          </w:tblCellMar>
        </w:tblPrEx>
        <w:tc>
          <w:tcPr>
            <w:tcW w:w="195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AB" w14:textId="77777777" w:rsidR="007F73D0" w:rsidRDefault="00000000">
            <w:r>
              <w:rPr>
                <w:sz w:val="18"/>
                <w:szCs w:val="18"/>
              </w:rPr>
              <w:t>Trustee app</w:t>
            </w:r>
          </w:p>
        </w:tc>
        <w:tc>
          <w:tcPr>
            <w:tcW w:w="1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AC" w14:textId="77777777" w:rsidR="007F73D0" w:rsidRDefault="00000000">
            <w:r>
              <w:rPr>
                <w:sz w:val="18"/>
                <w:szCs w:val="18"/>
              </w:rPr>
              <w:t>Dataverse canvas / model-driven app</w:t>
            </w:r>
          </w:p>
        </w:tc>
        <w:tc>
          <w:tcPr>
            <w:tcW w:w="357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AD" w14:textId="77777777" w:rsidR="007F73D0" w:rsidRDefault="00000000">
            <w:r>
              <w:rPr>
                <w:sz w:val="18"/>
                <w:szCs w:val="18"/>
              </w:rPr>
              <w:t>Trustees read live secured data (field-level security) and record decisions</w:t>
            </w:r>
          </w:p>
        </w:tc>
        <w:tc>
          <w:tcPr>
            <w:tcW w:w="16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AE" w14:textId="77777777" w:rsidR="007F73D0" w:rsidRDefault="00000000">
            <w:r>
              <w:rPr>
                <w:sz w:val="18"/>
                <w:szCs w:val="18"/>
              </w:rPr>
              <w:t>#6</w:t>
            </w:r>
          </w:p>
        </w:tc>
      </w:tr>
      <w:tr w:rsidR="007F73D0" w14:paraId="3283D9B4" w14:textId="77777777">
        <w:tblPrEx>
          <w:tblCellMar>
            <w:top w:w="0" w:type="dxa"/>
            <w:bottom w:w="0" w:type="dxa"/>
          </w:tblCellMar>
        </w:tblPrEx>
        <w:tc>
          <w:tcPr>
            <w:tcW w:w="19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B0" w14:textId="77777777" w:rsidR="007F73D0" w:rsidRDefault="00000000">
            <w:r>
              <w:rPr>
                <w:sz w:val="18"/>
                <w:szCs w:val="18"/>
              </w:rPr>
              <w:t>Decision capture</w:t>
            </w:r>
          </w:p>
        </w:tc>
        <w:tc>
          <w:tcPr>
            <w:tcW w:w="1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B1" w14:textId="77777777" w:rsidR="007F73D0" w:rsidRDefault="00000000">
            <w:r>
              <w:rPr>
                <w:sz w:val="18"/>
                <w:szCs w:val="18"/>
              </w:rPr>
              <w:t>Power Apps (in the Dataverse app)</w:t>
            </w:r>
          </w:p>
        </w:tc>
        <w:tc>
          <w:tcPr>
            <w:tcW w:w="357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B2" w14:textId="77777777" w:rsidR="007F73D0" w:rsidRDefault="00000000">
            <w:r>
              <w:rPr>
                <w:sz w:val="18"/>
                <w:szCs w:val="18"/>
              </w:rPr>
              <w:t>Approve / Defer / Reject with notes on the Review table</w:t>
            </w:r>
          </w:p>
        </w:tc>
        <w:tc>
          <w:tcPr>
            <w:tcW w:w="16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B3" w14:textId="77777777" w:rsidR="007F73D0" w:rsidRDefault="00000000">
            <w:r>
              <w:rPr>
                <w:sz w:val="18"/>
                <w:szCs w:val="18"/>
              </w:rPr>
              <w:t>#6</w:t>
            </w:r>
          </w:p>
        </w:tc>
      </w:tr>
      <w:tr w:rsidR="007F73D0" w14:paraId="3283D9B9" w14:textId="77777777">
        <w:tblPrEx>
          <w:tblCellMar>
            <w:top w:w="0" w:type="dxa"/>
            <w:bottom w:w="0" w:type="dxa"/>
          </w:tblCellMar>
        </w:tblPrEx>
        <w:tc>
          <w:tcPr>
            <w:tcW w:w="195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B5" w14:textId="77777777" w:rsidR="007F73D0" w:rsidRDefault="00000000">
            <w:r>
              <w:rPr>
                <w:sz w:val="18"/>
                <w:szCs w:val="18"/>
              </w:rPr>
              <w:t>Acceptance template</w:t>
            </w:r>
          </w:p>
        </w:tc>
        <w:tc>
          <w:tcPr>
            <w:tcW w:w="1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B6" w14:textId="77777777" w:rsidR="007F73D0" w:rsidRDefault="00000000">
            <w:r>
              <w:rPr>
                <w:sz w:val="18"/>
                <w:szCs w:val="18"/>
              </w:rPr>
              <w:t>DocuSign template</w:t>
            </w:r>
          </w:p>
        </w:tc>
        <w:tc>
          <w:tcPr>
            <w:tcW w:w="357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B7" w14:textId="77777777" w:rsidR="007F73D0" w:rsidRDefault="00000000">
            <w:r>
              <w:rPr>
                <w:sz w:val="18"/>
                <w:szCs w:val="18"/>
              </w:rPr>
              <w:t>Personalised acceptance letter for dual e-signature</w:t>
            </w:r>
          </w:p>
        </w:tc>
        <w:tc>
          <w:tcPr>
            <w:tcW w:w="16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B8" w14:textId="77777777" w:rsidR="007F73D0" w:rsidRDefault="00000000">
            <w:r>
              <w:rPr>
                <w:sz w:val="18"/>
                <w:szCs w:val="18"/>
              </w:rPr>
              <w:t>#3</w:t>
            </w:r>
          </w:p>
        </w:tc>
      </w:tr>
      <w:tr w:rsidR="007F73D0" w14:paraId="3283D9BE" w14:textId="77777777">
        <w:tblPrEx>
          <w:tblCellMar>
            <w:top w:w="0" w:type="dxa"/>
            <w:bottom w:w="0" w:type="dxa"/>
          </w:tblCellMar>
        </w:tblPrEx>
        <w:tc>
          <w:tcPr>
            <w:tcW w:w="19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BA" w14:textId="77777777" w:rsidR="007F73D0" w:rsidRDefault="00000000">
            <w:r>
              <w:rPr>
                <w:sz w:val="18"/>
                <w:szCs w:val="18"/>
              </w:rPr>
              <w:lastRenderedPageBreak/>
              <w:t>Payment capture form</w:t>
            </w:r>
          </w:p>
        </w:tc>
        <w:tc>
          <w:tcPr>
            <w:tcW w:w="1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BB" w14:textId="77777777" w:rsidR="007F73D0" w:rsidRDefault="00000000">
            <w:r>
              <w:rPr>
                <w:sz w:val="18"/>
                <w:szCs w:val="18"/>
              </w:rPr>
              <w:t>Power Apps</w:t>
            </w:r>
          </w:p>
        </w:tc>
        <w:tc>
          <w:tcPr>
            <w:tcW w:w="357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BC" w14:textId="77777777" w:rsidR="007F73D0" w:rsidRDefault="00000000">
            <w:r>
              <w:rPr>
                <w:sz w:val="18"/>
                <w:szCs w:val="18"/>
              </w:rPr>
              <w:t>Records providers, bank accounts and payments; finance role only</w:t>
            </w:r>
          </w:p>
        </w:tc>
        <w:tc>
          <w:tcPr>
            <w:tcW w:w="16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BD" w14:textId="77777777" w:rsidR="007F73D0" w:rsidRDefault="00000000">
            <w:r>
              <w:rPr>
                <w:sz w:val="18"/>
                <w:szCs w:val="18"/>
              </w:rPr>
              <w:t>#8</w:t>
            </w:r>
          </w:p>
        </w:tc>
      </w:tr>
      <w:tr w:rsidR="007F73D0" w14:paraId="3283D9C3" w14:textId="77777777">
        <w:tblPrEx>
          <w:tblCellMar>
            <w:top w:w="0" w:type="dxa"/>
            <w:bottom w:w="0" w:type="dxa"/>
          </w:tblCellMar>
        </w:tblPrEx>
        <w:tc>
          <w:tcPr>
            <w:tcW w:w="195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BF" w14:textId="77777777" w:rsidR="007F73D0" w:rsidRDefault="00000000">
            <w:r>
              <w:rPr>
                <w:sz w:val="18"/>
                <w:szCs w:val="18"/>
              </w:rPr>
              <w:t>PII detection</w:t>
            </w:r>
          </w:p>
        </w:tc>
        <w:tc>
          <w:tcPr>
            <w:tcW w:w="1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C0" w14:textId="77777777" w:rsidR="007F73D0" w:rsidRDefault="00000000">
            <w:r>
              <w:rPr>
                <w:sz w:val="18"/>
                <w:szCs w:val="18"/>
              </w:rPr>
              <w:t>AI Builder (pre-built model)</w:t>
            </w:r>
          </w:p>
        </w:tc>
        <w:tc>
          <w:tcPr>
            <w:tcW w:w="357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C1" w14:textId="77777777" w:rsidR="007F73D0" w:rsidRDefault="00000000">
            <w:r>
              <w:rPr>
                <w:sz w:val="18"/>
                <w:szCs w:val="18"/>
              </w:rPr>
              <w:t>Detects personal data in free-text narratives</w:t>
            </w:r>
          </w:p>
        </w:tc>
        <w:tc>
          <w:tcPr>
            <w:tcW w:w="16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C2" w14:textId="77777777" w:rsidR="007F73D0" w:rsidRDefault="00000000">
            <w:r>
              <w:rPr>
                <w:sz w:val="18"/>
                <w:szCs w:val="18"/>
              </w:rPr>
              <w:t>#5</w:t>
            </w:r>
          </w:p>
        </w:tc>
      </w:tr>
    </w:tbl>
    <w:p w14:paraId="3283D9C4" w14:textId="77777777" w:rsidR="007F73D0" w:rsidRDefault="00000000">
      <w:pPr>
        <w:pStyle w:val="Heading2"/>
      </w:pPr>
      <w:bookmarkStart w:id="20" w:name="_Toc235006541"/>
      <w:r>
        <w:t>Governance components</w:t>
      </w:r>
      <w:bookmarkEnd w:id="20"/>
    </w:p>
    <w:p w14:paraId="3283D9C5" w14:textId="77777777" w:rsidR="007F73D0" w:rsidRDefault="00000000">
      <w:pPr>
        <w:pStyle w:val="ListParagraph"/>
        <w:numPr>
          <w:ilvl w:val="0"/>
          <w:numId w:val="2"/>
        </w:numPr>
        <w:spacing w:after="70" w:line="268" w:lineRule="auto"/>
      </w:pPr>
      <w:r>
        <w:t>DEV and PROD environments (Dataverse-enabled), each behind an Entra ID security group.</w:t>
      </w:r>
    </w:p>
    <w:p w14:paraId="3283D9C6" w14:textId="77777777" w:rsidR="007F73D0" w:rsidRDefault="00000000">
      <w:pPr>
        <w:pStyle w:val="ListParagraph"/>
        <w:numPr>
          <w:ilvl w:val="0"/>
          <w:numId w:val="2"/>
        </w:numPr>
        <w:spacing w:after="70" w:line="268" w:lineRule="auto"/>
      </w:pPr>
      <w:r>
        <w:t>Service account (svc-grantautomation) that owns and runs the production flows and connections.</w:t>
      </w:r>
    </w:p>
    <w:p w14:paraId="3283D9C7" w14:textId="77777777" w:rsidR="007F73D0" w:rsidRDefault="00000000">
      <w:pPr>
        <w:pStyle w:val="ListParagraph"/>
        <w:numPr>
          <w:ilvl w:val="0"/>
          <w:numId w:val="2"/>
        </w:numPr>
        <w:spacing w:after="70" w:line="268" w:lineRule="auto"/>
      </w:pPr>
      <w:r>
        <w:t>Environment-level DLP policy; Conditional Access exception for the service account (documented in 0.3 / 0.5).</w:t>
      </w:r>
    </w:p>
    <w:p w14:paraId="3283D9C8" w14:textId="77777777" w:rsidR="007F73D0" w:rsidRDefault="00000000">
      <w:pPr>
        <w:pStyle w:val="ListParagraph"/>
        <w:numPr>
          <w:ilvl w:val="0"/>
          <w:numId w:val="2"/>
        </w:numPr>
        <w:spacing w:after="70" w:line="268" w:lineRule="auto"/>
      </w:pPr>
      <w:r>
        <w:t>The RevitaliseGrantAutomation solution itself, holding all flows, connection references, environment variables, and the AI model reference.</w:t>
      </w:r>
    </w:p>
    <w:p w14:paraId="3283D9C9" w14:textId="77777777" w:rsidR="007F73D0" w:rsidRDefault="00000000">
      <w:pPr>
        <w:pStyle w:val="ListParagraph"/>
      </w:pPr>
      <w:r>
        <w:t>Three Dataverse security roles (admin, finance, trustee) plus a field-level security profile on the trustee role; native Dataverse field-change auditing.</w:t>
      </w:r>
    </w:p>
    <w:p w14:paraId="5A3D9C90" w14:textId="77777777" w:rsidR="007F73D0" w:rsidRDefault="00000000">
      <w:pPr>
        <w:spacing w:after="140" w:line="276" w:lineRule="auto"/>
      </w:pPr>
      <w:r>
        <w:rPr>
          <w:b/>
          <w:bCs/>
        </w:rPr>
        <w:t xml:space="preserve">Operational monitoring. </w:t>
      </w:r>
      <w:r>
        <w:t>An Error Log table and a REV | Ops | Failure Alert child flow capture failures across every flow and alert Emily; the log holds record references and technical detail only, no personal data. Native Power Automate run history and Dataverse field-change auditing back this up.</w:t>
      </w:r>
    </w:p>
    <w:p w14:paraId="3283D9CA" w14:textId="77777777" w:rsidR="007F73D0" w:rsidRDefault="00000000">
      <w:r>
        <w:br w:type="page"/>
      </w:r>
    </w:p>
    <w:p w14:paraId="3283D9CB" w14:textId="77777777" w:rsidR="007F73D0" w:rsidRDefault="00000000">
      <w:pPr>
        <w:pStyle w:val="Heading1"/>
      </w:pPr>
      <w:bookmarkStart w:id="21" w:name="_Toc235006542"/>
      <w:r>
        <w:lastRenderedPageBreak/>
        <w:t>6. Integration architecture</w:t>
      </w:r>
      <w:bookmarkEnd w:id="21"/>
    </w:p>
    <w:p w14:paraId="3283D9CC" w14:textId="77777777" w:rsidR="007F73D0" w:rsidRDefault="00000000">
      <w:pPr>
        <w:spacing w:after="140" w:line="276" w:lineRule="auto"/>
      </w:pPr>
      <w:r>
        <w:t>Dataverse is the hub: applications land there, every automation reads from and writes to it, and it is the single source of truth. SharePoint holds only the one signed DocuSign PDF, linked by URL on the Grant. The table below is the integration register — direction, connector, licence tier, and how each connection is trusted.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1235"/>
        <w:gridCol w:w="1339"/>
        <w:gridCol w:w="1051"/>
        <w:gridCol w:w="2338"/>
        <w:gridCol w:w="1389"/>
      </w:tblGrid>
      <w:tr w:rsidR="007F73D0" w14:paraId="3283D9D3" w14:textId="77777777">
        <w:tblPrEx>
          <w:tblCellMar>
            <w:top w:w="0" w:type="dxa"/>
            <w:bottom w:w="0" w:type="dxa"/>
          </w:tblCellMar>
        </w:tblPrEx>
        <w:trPr>
          <w:tblHeader/>
        </w:trPr>
        <w:tc>
          <w:tcPr>
            <w:tcW w:w="17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CD" w14:textId="77777777" w:rsidR="007F73D0" w:rsidRDefault="00000000">
            <w:r>
              <w:rPr>
                <w:b/>
                <w:bCs/>
                <w:color w:val="FFFFFF"/>
                <w:sz w:val="19"/>
                <w:szCs w:val="19"/>
              </w:rPr>
              <w:t>Integration</w:t>
            </w:r>
          </w:p>
        </w:tc>
        <w:tc>
          <w:tcPr>
            <w:tcW w:w="125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CE" w14:textId="77777777" w:rsidR="007F73D0" w:rsidRDefault="00000000">
            <w:r>
              <w:rPr>
                <w:b/>
                <w:bCs/>
                <w:color w:val="FFFFFF"/>
                <w:sz w:val="19"/>
                <w:szCs w:val="19"/>
              </w:rPr>
              <w:t>Direction</w:t>
            </w:r>
          </w:p>
        </w:tc>
        <w:tc>
          <w:tcPr>
            <w:tcW w:w="135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CF" w14:textId="77777777" w:rsidR="007F73D0" w:rsidRDefault="00000000">
            <w:r>
              <w:rPr>
                <w:b/>
                <w:bCs/>
                <w:color w:val="FFFFFF"/>
                <w:sz w:val="19"/>
                <w:szCs w:val="19"/>
              </w:rPr>
              <w:t>Connector</w:t>
            </w:r>
          </w:p>
        </w:tc>
        <w:tc>
          <w:tcPr>
            <w:tcW w:w="9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D0" w14:textId="77777777" w:rsidR="007F73D0" w:rsidRDefault="00000000">
            <w:r>
              <w:rPr>
                <w:b/>
                <w:bCs/>
                <w:color w:val="FFFFFF"/>
                <w:sz w:val="19"/>
                <w:szCs w:val="19"/>
              </w:rPr>
              <w:t>Tier</w:t>
            </w:r>
          </w:p>
        </w:tc>
        <w:tc>
          <w:tcPr>
            <w:tcW w:w="2426"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D1" w14:textId="77777777" w:rsidR="007F73D0" w:rsidRDefault="00000000">
            <w:r>
              <w:rPr>
                <w:b/>
                <w:bCs/>
                <w:color w:val="FFFFFF"/>
                <w:sz w:val="19"/>
                <w:szCs w:val="19"/>
              </w:rPr>
              <w:t>Trigger / method</w:t>
            </w:r>
          </w:p>
        </w:tc>
        <w:tc>
          <w:tcPr>
            <w:tcW w:w="14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9D2" w14:textId="77777777" w:rsidR="007F73D0" w:rsidRDefault="00000000">
            <w:r>
              <w:rPr>
                <w:b/>
                <w:bCs/>
                <w:color w:val="FFFFFF"/>
                <w:sz w:val="19"/>
                <w:szCs w:val="19"/>
              </w:rPr>
              <w:t>Auth</w:t>
            </w:r>
          </w:p>
        </w:tc>
      </w:tr>
      <w:tr w:rsidR="007F73D0" w14:paraId="3283D9DA" w14:textId="77777777">
        <w:tblPrEx>
          <w:tblCellMar>
            <w:top w:w="0" w:type="dxa"/>
            <w:bottom w:w="0" w:type="dxa"/>
          </w:tblCellMar>
        </w:tblPrEx>
        <w:tc>
          <w:tcPr>
            <w:tcW w:w="17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D4" w14:textId="77777777" w:rsidR="007F73D0" w:rsidRDefault="00000000">
            <w:r>
              <w:rPr>
                <w:sz w:val="18"/>
                <w:szCs w:val="18"/>
              </w:rPr>
              <w:t>WordPress → Dataverse</w:t>
            </w:r>
          </w:p>
        </w:tc>
        <w:tc>
          <w:tcPr>
            <w:tcW w:w="12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D5" w14:textId="77777777" w:rsidR="007F73D0" w:rsidRDefault="00000000">
            <w:r>
              <w:rPr>
                <w:sz w:val="18"/>
                <w:szCs w:val="18"/>
              </w:rPr>
              <w:t>Inbound</w:t>
            </w:r>
          </w:p>
        </w:tc>
        <w:tc>
          <w:tcPr>
            <w:tcW w:w="13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D6" w14:textId="77777777" w:rsidR="007F73D0" w:rsidRDefault="00000000">
            <w:r>
              <w:rPr>
                <w:sz w:val="18"/>
                <w:szCs w:val="18"/>
              </w:rPr>
              <w:t>Request (HTTP) / REST / email</w:t>
            </w:r>
          </w:p>
        </w:tc>
        <w:tc>
          <w:tcPr>
            <w:tcW w:w="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D7" w14:textId="77777777" w:rsidR="007F73D0" w:rsidRDefault="00000000">
            <w:r>
              <w:rPr>
                <w:sz w:val="18"/>
                <w:szCs w:val="18"/>
              </w:rPr>
              <w:t>Premium*</w:t>
            </w:r>
          </w:p>
        </w:tc>
        <w:tc>
          <w:tcPr>
            <w:tcW w:w="24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D8" w14:textId="77777777" w:rsidR="007F73D0" w:rsidRDefault="00000000">
            <w:r>
              <w:rPr>
                <w:sz w:val="18"/>
                <w:szCs w:val="18"/>
              </w:rPr>
              <w:t>Webhook on submit; fallbacks: scheduled REST pull or parsed email</w:t>
            </w:r>
          </w:p>
        </w:tc>
        <w:tc>
          <w:tcPr>
            <w:tcW w:w="14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D9" w14:textId="77777777" w:rsidR="007F73D0" w:rsidRDefault="00000000">
            <w:r>
              <w:rPr>
                <w:sz w:val="18"/>
                <w:szCs w:val="18"/>
              </w:rPr>
              <w:t>Shared secret / service mailbox</w:t>
            </w:r>
          </w:p>
        </w:tc>
      </w:tr>
      <w:tr w:rsidR="007F73D0" w14:paraId="3283D9E1" w14:textId="77777777">
        <w:tblPrEx>
          <w:tblCellMar>
            <w:top w:w="0" w:type="dxa"/>
            <w:bottom w:w="0" w:type="dxa"/>
          </w:tblCellMar>
        </w:tblPrEx>
        <w:tc>
          <w:tcPr>
            <w:tcW w:w="17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DB" w14:textId="77777777" w:rsidR="007F73D0" w:rsidRDefault="00000000">
            <w:r>
              <w:rPr>
                <w:sz w:val="18"/>
                <w:szCs w:val="18"/>
              </w:rPr>
              <w:t>DocuSign</w:t>
            </w:r>
          </w:p>
        </w:tc>
        <w:tc>
          <w:tcPr>
            <w:tcW w:w="125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DC" w14:textId="77777777" w:rsidR="007F73D0" w:rsidRDefault="00000000">
            <w:r>
              <w:rPr>
                <w:sz w:val="18"/>
                <w:szCs w:val="18"/>
              </w:rPr>
              <w:t>Bi-directional</w:t>
            </w:r>
          </w:p>
        </w:tc>
        <w:tc>
          <w:tcPr>
            <w:tcW w:w="135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DD" w14:textId="77777777" w:rsidR="007F73D0" w:rsidRDefault="00000000">
            <w:r>
              <w:rPr>
                <w:sz w:val="18"/>
                <w:szCs w:val="18"/>
              </w:rPr>
              <w:t>DocuSign</w:t>
            </w:r>
          </w:p>
        </w:tc>
        <w:tc>
          <w:tcPr>
            <w:tcW w:w="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DE" w14:textId="77777777" w:rsidR="007F73D0" w:rsidRDefault="00000000">
            <w:r>
              <w:rPr>
                <w:sz w:val="18"/>
                <w:szCs w:val="18"/>
              </w:rPr>
              <w:t>Premium</w:t>
            </w:r>
          </w:p>
        </w:tc>
        <w:tc>
          <w:tcPr>
            <w:tcW w:w="24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DF" w14:textId="77777777" w:rsidR="007F73D0" w:rsidRDefault="00000000">
            <w:r>
              <w:rPr>
                <w:sz w:val="18"/>
                <w:szCs w:val="18"/>
              </w:rPr>
              <w:t>Outbound: create envelope on approval. Inbound: completion event</w:t>
            </w:r>
          </w:p>
        </w:tc>
        <w:tc>
          <w:tcPr>
            <w:tcW w:w="14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E0" w14:textId="77777777" w:rsidR="007F73D0" w:rsidRDefault="00000000">
            <w:r>
              <w:rPr>
                <w:sz w:val="18"/>
                <w:szCs w:val="18"/>
              </w:rPr>
              <w:t>OAuth (service account)</w:t>
            </w:r>
          </w:p>
        </w:tc>
      </w:tr>
      <w:tr w:rsidR="007F73D0" w14:paraId="3283D9E8" w14:textId="77777777">
        <w:tblPrEx>
          <w:tblCellMar>
            <w:top w:w="0" w:type="dxa"/>
            <w:bottom w:w="0" w:type="dxa"/>
          </w:tblCellMar>
        </w:tblPrEx>
        <w:tc>
          <w:tcPr>
            <w:tcW w:w="17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E2" w14:textId="77777777" w:rsidR="007F73D0" w:rsidRDefault="00000000">
            <w:r>
              <w:rPr>
                <w:sz w:val="18"/>
                <w:szCs w:val="18"/>
              </w:rPr>
              <w:t>QuickBooks Online</w:t>
            </w:r>
          </w:p>
        </w:tc>
        <w:tc>
          <w:tcPr>
            <w:tcW w:w="12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E3" w14:textId="77777777" w:rsidR="007F73D0" w:rsidRDefault="00000000">
            <w:r>
              <w:rPr>
                <w:sz w:val="18"/>
                <w:szCs w:val="18"/>
              </w:rPr>
              <w:t>Inbound (read)</w:t>
            </w:r>
          </w:p>
        </w:tc>
        <w:tc>
          <w:tcPr>
            <w:tcW w:w="13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E4" w14:textId="77777777" w:rsidR="007F73D0" w:rsidRDefault="00000000">
            <w:r>
              <w:rPr>
                <w:sz w:val="18"/>
                <w:szCs w:val="18"/>
              </w:rPr>
              <w:t>QuickBooks Online</w:t>
            </w:r>
          </w:p>
        </w:tc>
        <w:tc>
          <w:tcPr>
            <w:tcW w:w="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E5" w14:textId="77777777" w:rsidR="007F73D0" w:rsidRDefault="00000000">
            <w:r>
              <w:rPr>
                <w:sz w:val="18"/>
                <w:szCs w:val="18"/>
              </w:rPr>
              <w:t>Premium</w:t>
            </w:r>
          </w:p>
        </w:tc>
        <w:tc>
          <w:tcPr>
            <w:tcW w:w="24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E6" w14:textId="77777777" w:rsidR="007F73D0" w:rsidRDefault="00000000">
            <w:r>
              <w:rPr>
                <w:sz w:val="18"/>
                <w:szCs w:val="18"/>
              </w:rPr>
              <w:t>Query by name/email on new item; fallback: quarterly export to Grant History</w:t>
            </w:r>
          </w:p>
        </w:tc>
        <w:tc>
          <w:tcPr>
            <w:tcW w:w="14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E7" w14:textId="77777777" w:rsidR="007F73D0" w:rsidRDefault="00000000">
            <w:r>
              <w:rPr>
                <w:sz w:val="18"/>
                <w:szCs w:val="18"/>
              </w:rPr>
              <w:t>OAuth (read-only)</w:t>
            </w:r>
          </w:p>
        </w:tc>
      </w:tr>
      <w:tr w:rsidR="007F73D0" w14:paraId="3283D9EF" w14:textId="77777777">
        <w:tblPrEx>
          <w:tblCellMar>
            <w:top w:w="0" w:type="dxa"/>
            <w:bottom w:w="0" w:type="dxa"/>
          </w:tblCellMar>
        </w:tblPrEx>
        <w:tc>
          <w:tcPr>
            <w:tcW w:w="17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E9" w14:textId="77777777" w:rsidR="007F73D0" w:rsidRDefault="00000000">
            <w:r>
              <w:rPr>
                <w:sz w:val="18"/>
                <w:szCs w:val="18"/>
              </w:rPr>
              <w:t>Microsoft 365 (email/Teams)</w:t>
            </w:r>
          </w:p>
        </w:tc>
        <w:tc>
          <w:tcPr>
            <w:tcW w:w="125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EA" w14:textId="77777777" w:rsidR="007F73D0" w:rsidRDefault="00000000">
            <w:r>
              <w:rPr>
                <w:sz w:val="18"/>
                <w:szCs w:val="18"/>
              </w:rPr>
              <w:t>Outbound</w:t>
            </w:r>
          </w:p>
        </w:tc>
        <w:tc>
          <w:tcPr>
            <w:tcW w:w="135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EB" w14:textId="77777777" w:rsidR="007F73D0" w:rsidRDefault="00000000">
            <w:r>
              <w:rPr>
                <w:sz w:val="18"/>
                <w:szCs w:val="18"/>
              </w:rPr>
              <w:t>Outlook / Teams</w:t>
            </w:r>
          </w:p>
        </w:tc>
        <w:tc>
          <w:tcPr>
            <w:tcW w:w="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EC" w14:textId="77777777" w:rsidR="007F73D0" w:rsidRDefault="00000000">
            <w:r>
              <w:rPr>
                <w:sz w:val="18"/>
                <w:szCs w:val="18"/>
              </w:rPr>
              <w:t>Standard</w:t>
            </w:r>
          </w:p>
        </w:tc>
        <w:tc>
          <w:tcPr>
            <w:tcW w:w="24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ED" w14:textId="77777777" w:rsidR="007F73D0" w:rsidRDefault="00000000">
            <w:r>
              <w:rPr>
                <w:sz w:val="18"/>
                <w:szCs w:val="18"/>
              </w:rPr>
              <w:t>Notifications, summaries, escalations</w:t>
            </w:r>
          </w:p>
        </w:tc>
        <w:tc>
          <w:tcPr>
            <w:tcW w:w="14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EE" w14:textId="77777777" w:rsidR="007F73D0" w:rsidRDefault="00000000">
            <w:r>
              <w:rPr>
                <w:sz w:val="18"/>
                <w:szCs w:val="18"/>
              </w:rPr>
              <w:t>Service account</w:t>
            </w:r>
          </w:p>
        </w:tc>
      </w:tr>
      <w:tr w:rsidR="007F73D0" w14:paraId="3283D9F6" w14:textId="77777777">
        <w:tblPrEx>
          <w:tblCellMar>
            <w:top w:w="0" w:type="dxa"/>
            <w:bottom w:w="0" w:type="dxa"/>
          </w:tblCellMar>
        </w:tblPrEx>
        <w:tc>
          <w:tcPr>
            <w:tcW w:w="17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F0" w14:textId="77777777" w:rsidR="007F73D0" w:rsidRDefault="00000000">
            <w:r>
              <w:rPr>
                <w:sz w:val="18"/>
                <w:szCs w:val="18"/>
              </w:rPr>
              <w:t>AI Builder</w:t>
            </w:r>
          </w:p>
        </w:tc>
        <w:tc>
          <w:tcPr>
            <w:tcW w:w="12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F1" w14:textId="77777777" w:rsidR="007F73D0" w:rsidRDefault="00000000">
            <w:r>
              <w:rPr>
                <w:sz w:val="18"/>
                <w:szCs w:val="18"/>
              </w:rPr>
              <w:t>Internal</w:t>
            </w:r>
          </w:p>
        </w:tc>
        <w:tc>
          <w:tcPr>
            <w:tcW w:w="13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F2" w14:textId="77777777" w:rsidR="007F73D0" w:rsidRDefault="00000000">
            <w:r>
              <w:rPr>
                <w:sz w:val="18"/>
                <w:szCs w:val="18"/>
              </w:rPr>
              <w:t>AI Builder</w:t>
            </w:r>
          </w:p>
        </w:tc>
        <w:tc>
          <w:tcPr>
            <w:tcW w:w="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F3" w14:textId="77777777" w:rsidR="007F73D0" w:rsidRDefault="00000000">
            <w:r>
              <w:rPr>
                <w:sz w:val="18"/>
                <w:szCs w:val="18"/>
              </w:rPr>
              <w:t>Premium</w:t>
            </w:r>
          </w:p>
        </w:tc>
        <w:tc>
          <w:tcPr>
            <w:tcW w:w="24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F4" w14:textId="77777777" w:rsidR="007F73D0" w:rsidRDefault="00000000">
            <w:r>
              <w:rPr>
                <w:sz w:val="18"/>
                <w:szCs w:val="18"/>
              </w:rPr>
              <w:t>PII detection call within the anonymisation flow</w:t>
            </w:r>
          </w:p>
        </w:tc>
        <w:tc>
          <w:tcPr>
            <w:tcW w:w="14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9F5" w14:textId="77777777" w:rsidR="007F73D0" w:rsidRDefault="00000000">
            <w:r>
              <w:rPr>
                <w:sz w:val="18"/>
                <w:szCs w:val="18"/>
              </w:rPr>
              <w:t>Environment credits</w:t>
            </w:r>
          </w:p>
        </w:tc>
      </w:tr>
      <w:tr w:rsidR="007F73D0" w14:paraId="3283D9FD" w14:textId="77777777">
        <w:tblPrEx>
          <w:tblCellMar>
            <w:top w:w="0" w:type="dxa"/>
            <w:bottom w:w="0" w:type="dxa"/>
          </w:tblCellMar>
        </w:tblPrEx>
        <w:tc>
          <w:tcPr>
            <w:tcW w:w="17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F7" w14:textId="77777777" w:rsidR="007F73D0" w:rsidRDefault="00000000">
            <w:r>
              <w:rPr>
                <w:sz w:val="18"/>
                <w:szCs w:val="18"/>
              </w:rPr>
              <w:t>Word / Excel generation</w:t>
            </w:r>
          </w:p>
        </w:tc>
        <w:tc>
          <w:tcPr>
            <w:tcW w:w="125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F8" w14:textId="77777777" w:rsidR="007F73D0" w:rsidRDefault="00000000">
            <w:r>
              <w:rPr>
                <w:sz w:val="18"/>
                <w:szCs w:val="18"/>
              </w:rPr>
              <w:t>Internal</w:t>
            </w:r>
          </w:p>
        </w:tc>
        <w:tc>
          <w:tcPr>
            <w:tcW w:w="135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F9" w14:textId="77777777" w:rsidR="007F73D0" w:rsidRDefault="00000000">
            <w:r>
              <w:rPr>
                <w:sz w:val="18"/>
                <w:szCs w:val="18"/>
              </w:rPr>
              <w:t>Word Online (Business)</w:t>
            </w:r>
          </w:p>
        </w:tc>
        <w:tc>
          <w:tcPr>
            <w:tcW w:w="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FA" w14:textId="77777777" w:rsidR="007F73D0" w:rsidRDefault="00000000">
            <w:r>
              <w:rPr>
                <w:sz w:val="18"/>
                <w:szCs w:val="18"/>
              </w:rPr>
              <w:t>Standard</w:t>
            </w:r>
          </w:p>
        </w:tc>
        <w:tc>
          <w:tcPr>
            <w:tcW w:w="24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FB" w14:textId="77777777" w:rsidR="007F73D0" w:rsidRDefault="00000000">
            <w:r>
              <w:rPr>
                <w:sz w:val="18"/>
                <w:szCs w:val="18"/>
              </w:rPr>
              <w:t>Populate a Word template → PDF; anonymised Excel</w:t>
            </w:r>
          </w:p>
        </w:tc>
        <w:tc>
          <w:tcPr>
            <w:tcW w:w="14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9FC" w14:textId="77777777" w:rsidR="007F73D0" w:rsidRDefault="00000000">
            <w:r>
              <w:rPr>
                <w:sz w:val="18"/>
                <w:szCs w:val="18"/>
              </w:rPr>
              <w:t>Service account</w:t>
            </w:r>
          </w:p>
        </w:tc>
      </w:tr>
    </w:tbl>
    <w:p w14:paraId="3283D9FE" w14:textId="77777777" w:rsidR="007F73D0" w:rsidRDefault="00000000">
      <w:pPr>
        <w:spacing w:after="140" w:line="276" w:lineRule="auto"/>
      </w:pPr>
      <w:r>
        <w:rPr>
          <w:color w:val="8A9099"/>
          <w:sz w:val="16"/>
          <w:szCs w:val="16"/>
        </w:rPr>
        <w:t>* The HTTP trigger is premium. Where the WordPress plugin cannot send a webhook, the architecture degrades gracefully to a scheduled REST pull or a structured-email trigger without changing any downstream component.</w:t>
      </w:r>
    </w:p>
    <w:p w14:paraId="3283D9FF" w14:textId="77777777" w:rsidR="007F73D0" w:rsidRDefault="00000000">
      <w:pPr>
        <w:pStyle w:val="Heading2"/>
      </w:pPr>
      <w:bookmarkStart w:id="22" w:name="_Toc235006543"/>
      <w:r>
        <w:t>End-to-end data flow</w:t>
      </w:r>
      <w:bookmarkEnd w:id="22"/>
    </w:p>
    <w:p w14:paraId="3283DA00" w14:textId="77777777" w:rsidR="007F73D0" w:rsidRDefault="00000000">
      <w:pPr>
        <w:spacing w:after="140" w:line="276" w:lineRule="auto"/>
      </w:pPr>
      <w:r>
        <w:t>The happy path, from submission to signed acceptance:</w:t>
      </w:r>
    </w:p>
    <w:p w14:paraId="3283DA01" w14:textId="77777777" w:rsidR="007F73D0" w:rsidRDefault="00000000">
      <w:pPr>
        <w:pStyle w:val="ListParagraph"/>
        <w:numPr>
          <w:ilvl w:val="0"/>
          <w:numId w:val="2"/>
        </w:numPr>
        <w:spacing w:after="70" w:line="268" w:lineRule="auto"/>
      </w:pPr>
      <w:r>
        <w:t>Applicant submits the WordPress form (validated at source, automation #1).</w:t>
      </w:r>
    </w:p>
    <w:p w14:paraId="3283DA02" w14:textId="77777777" w:rsidR="007F73D0" w:rsidRDefault="00000000">
      <w:pPr>
        <w:pStyle w:val="ListParagraph"/>
        <w:numPr>
          <w:ilvl w:val="0"/>
          <w:numId w:val="2"/>
        </w:numPr>
        <w:spacing w:after="70" w:line="268" w:lineRule="auto"/>
      </w:pPr>
      <w:r>
        <w:t>Intake flow creates an Application row with a GA-2026-00001 reference (#4).</w:t>
      </w:r>
    </w:p>
    <w:p w14:paraId="3283DA03" w14:textId="77777777" w:rsidR="007F73D0" w:rsidRDefault="00000000">
      <w:pPr>
        <w:pStyle w:val="ListParagraph"/>
        <w:numPr>
          <w:ilvl w:val="0"/>
          <w:numId w:val="2"/>
        </w:numPr>
        <w:spacing w:after="70" w:line="268" w:lineRule="auto"/>
      </w:pPr>
      <w:r>
        <w:t>Scoring flow calculates the score and sets status Auto-pass / Borderline / Auto-reject against the Settings thresholds (#2).</w:t>
      </w:r>
    </w:p>
    <w:p w14:paraId="3283DA04" w14:textId="77777777" w:rsidR="007F73D0" w:rsidRDefault="00000000">
      <w:pPr>
        <w:pStyle w:val="ListParagraph"/>
        <w:numPr>
          <w:ilvl w:val="0"/>
          <w:numId w:val="2"/>
        </w:numPr>
        <w:spacing w:after="70" w:line="268" w:lineRule="auto"/>
      </w:pPr>
      <w:r>
        <w:t>Emily reviews; on approval, field-level security makes the structured data safe for trustees, and the narrative-scrubbing flow produces a redacted, pseudonymised copy of the free-text narratives, with anything below the confidence threshold flagged for her review (#5).</w:t>
      </w:r>
    </w:p>
    <w:p w14:paraId="3283DA05" w14:textId="77777777" w:rsidR="007F73D0" w:rsidRDefault="00000000">
      <w:pPr>
        <w:pStyle w:val="ListParagraph"/>
        <w:numPr>
          <w:ilvl w:val="0"/>
          <w:numId w:val="2"/>
        </w:numPr>
        <w:spacing w:after="70" w:line="268" w:lineRule="auto"/>
      </w:pPr>
      <w:r>
        <w:t>Trustees open the Dataverse app, which shows only the columns the field-level security profile permits, plus the redacted narrative field (#5, #6).</w:t>
      </w:r>
    </w:p>
    <w:p w14:paraId="3283DA06" w14:textId="77777777" w:rsidR="007F73D0" w:rsidRDefault="00000000">
      <w:pPr>
        <w:pStyle w:val="ListParagraph"/>
        <w:numPr>
          <w:ilvl w:val="0"/>
          <w:numId w:val="2"/>
        </w:numPr>
        <w:spacing w:after="70" w:line="268" w:lineRule="auto"/>
      </w:pPr>
      <w:r>
        <w:t>Trustees record Approve / Defer / Reject in the Power Apps form; Emily clicks Finalise Decisions, which updates the Review and Grant records and triggers DocuSign for approved grants (#6, #3).</w:t>
      </w:r>
    </w:p>
    <w:p w14:paraId="3283DA07" w14:textId="77777777" w:rsidR="007F73D0" w:rsidRDefault="00000000">
      <w:pPr>
        <w:pStyle w:val="ListParagraph"/>
        <w:numPr>
          <w:ilvl w:val="0"/>
          <w:numId w:val="2"/>
        </w:numPr>
        <w:spacing w:after="70" w:line="268" w:lineRule="auto"/>
      </w:pPr>
      <w:r>
        <w:t>DocuSign routes the acceptance letter for dual signature, sends reminders, and on completion writes the 'Acceptance Signed' status back to the Grant record, with the signed PDF linked in SharePoint (#3). After acceptance, payments are recorded on the Payment table and checked for duplicates before issue (#7, #8).</w:t>
      </w:r>
    </w:p>
    <w:p w14:paraId="3283DA08" w14:textId="77777777" w:rsidR="007F73D0" w:rsidRDefault="00000000">
      <w:pPr>
        <w:pStyle w:val="Heading2"/>
      </w:pPr>
      <w:bookmarkStart w:id="23" w:name="_Toc235006544"/>
      <w:r>
        <w:t>Integration principles</w:t>
      </w:r>
      <w:bookmarkEnd w:id="23"/>
    </w:p>
    <w:p w14:paraId="3283DA09" w14:textId="77777777" w:rsidR="007F73D0" w:rsidRDefault="00000000">
      <w:pPr>
        <w:pStyle w:val="ListParagraph"/>
        <w:numPr>
          <w:ilvl w:val="0"/>
          <w:numId w:val="2"/>
        </w:numPr>
        <w:spacing w:after="70" w:line="268" w:lineRule="auto"/>
      </w:pPr>
      <w:r>
        <w:lastRenderedPageBreak/>
        <w:t>Dataverse is the hub — external systems never talk to each other directly, only through it. This keeps each integration independently replaceable.</w:t>
      </w:r>
    </w:p>
    <w:p w14:paraId="3283DA0A" w14:textId="77777777" w:rsidR="007F73D0" w:rsidRDefault="00000000">
      <w:pPr>
        <w:pStyle w:val="ListParagraph"/>
        <w:numPr>
          <w:ilvl w:val="0"/>
          <w:numId w:val="2"/>
        </w:numPr>
        <w:spacing w:after="70" w:line="268" w:lineRule="auto"/>
      </w:pPr>
      <w:r>
        <w:t>Every integration has a documented fallback (Section 6 table), so no single external dependency can stop the pipeline.</w:t>
      </w:r>
    </w:p>
    <w:p w14:paraId="3283DA0B" w14:textId="77777777" w:rsidR="007F73D0" w:rsidRDefault="00000000">
      <w:pPr>
        <w:pStyle w:val="ListParagraph"/>
        <w:numPr>
          <w:ilvl w:val="0"/>
          <w:numId w:val="2"/>
        </w:numPr>
        <w:spacing w:after="70" w:line="268" w:lineRule="auto"/>
      </w:pPr>
      <w:r>
        <w:t>All external connections are owned by the service account, not a personal login, so they survive staff changes and are governed centrally.</w:t>
      </w:r>
    </w:p>
    <w:p w14:paraId="3283DA0C" w14:textId="77777777" w:rsidR="007F73D0" w:rsidRDefault="00000000">
      <w:pPr>
        <w:pStyle w:val="ListParagraph"/>
        <w:numPr>
          <w:ilvl w:val="0"/>
          <w:numId w:val="2"/>
        </w:numPr>
        <w:spacing w:after="70" w:line="268" w:lineRule="auto"/>
      </w:pPr>
      <w:r>
        <w:t>Error handling on every inbound flow: malformed or duplicate payloads are caught and surfaced to Emily via Teams rather than failing silently.</w:t>
      </w:r>
    </w:p>
    <w:p w14:paraId="3283DA0D" w14:textId="77777777" w:rsidR="007F73D0" w:rsidRDefault="00000000">
      <w:r>
        <w:br w:type="page"/>
      </w:r>
    </w:p>
    <w:p w14:paraId="3283DA0E" w14:textId="77777777" w:rsidR="007F73D0" w:rsidRDefault="00000000">
      <w:pPr>
        <w:pStyle w:val="Heading1"/>
      </w:pPr>
      <w:bookmarkStart w:id="24" w:name="_Toc235006545"/>
      <w:r>
        <w:lastRenderedPageBreak/>
        <w:t>7. Solution packaging and ALM strategy</w:t>
      </w:r>
      <w:bookmarkEnd w:id="24"/>
    </w:p>
    <w:p w14:paraId="3283DA0F" w14:textId="77777777" w:rsidR="007F73D0" w:rsidRDefault="00000000">
      <w:pPr>
        <w:spacing w:after="140" w:line="276" w:lineRule="auto"/>
      </w:pPr>
      <w:r>
        <w:t>Application Lifecycle Management (ALM) is how changes move from build to live, safely and repeatably. The whole solution is packaged as one Power Platform solution and promoted from DEV to PROD as a managed solution — never edited directly in production.</w:t>
      </w:r>
    </w:p>
    <w:p w14:paraId="3283DA10" w14:textId="77777777" w:rsidR="007F73D0" w:rsidRDefault="00000000">
      <w:pPr>
        <w:pStyle w:val="Heading2"/>
      </w:pPr>
      <w:bookmarkStart w:id="25" w:name="_Toc235006546"/>
      <w:r>
        <w:t>Packaging model</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F73D0" w14:paraId="3283DA13" w14:textId="77777777">
        <w:tblPrEx>
          <w:tblCellMar>
            <w:top w:w="0" w:type="dxa"/>
            <w:bottom w:w="0" w:type="dxa"/>
          </w:tblCellMar>
        </w:tblPrEx>
        <w:trPr>
          <w:tblHeader/>
        </w:trPr>
        <w:tc>
          <w:tcPr>
            <w:tcW w:w="22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A11" w14:textId="77777777" w:rsidR="007F73D0" w:rsidRDefault="00000000">
            <w:r>
              <w:rPr>
                <w:b/>
                <w:bCs/>
                <w:color w:val="FFFFFF"/>
                <w:sz w:val="19"/>
                <w:szCs w:val="19"/>
              </w:rPr>
              <w:t>Aspect</w:t>
            </w:r>
          </w:p>
        </w:tc>
        <w:tc>
          <w:tcPr>
            <w:tcW w:w="6826"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A12" w14:textId="77777777" w:rsidR="007F73D0" w:rsidRDefault="00000000">
            <w:r>
              <w:rPr>
                <w:b/>
                <w:bCs/>
                <w:color w:val="FFFFFF"/>
                <w:sz w:val="19"/>
                <w:szCs w:val="19"/>
              </w:rPr>
              <w:t>Decision</w:t>
            </w:r>
          </w:p>
        </w:tc>
      </w:tr>
      <w:tr w:rsidR="007F73D0" w14:paraId="3283DA16" w14:textId="77777777">
        <w:tblPrEx>
          <w:tblCellMar>
            <w:top w:w="0" w:type="dxa"/>
            <w:bottom w:w="0" w:type="dxa"/>
          </w:tblCellMar>
        </w:tblPrEx>
        <w:tc>
          <w:tcPr>
            <w:tcW w:w="22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14" w14:textId="77777777" w:rsidR="007F73D0" w:rsidRDefault="00000000">
            <w:r>
              <w:rPr>
                <w:sz w:val="18"/>
                <w:szCs w:val="18"/>
              </w:rPr>
              <w:t>Unit of deployment</w:t>
            </w:r>
          </w:p>
        </w:tc>
        <w:tc>
          <w:tcPr>
            <w:tcW w:w="68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15" w14:textId="77777777" w:rsidR="007F73D0" w:rsidRDefault="00000000">
            <w:r>
              <w:rPr>
                <w:sz w:val="18"/>
                <w:szCs w:val="18"/>
              </w:rPr>
              <w:t>A single solution — RevitaliseGrantAutomation — containing all flows, connection references, environment variables, the AI model reference, and (where solution-aware) the app and templates.</w:t>
            </w:r>
          </w:p>
        </w:tc>
      </w:tr>
      <w:tr w:rsidR="007F73D0" w14:paraId="3283DA19" w14:textId="77777777">
        <w:tblPrEx>
          <w:tblCellMar>
            <w:top w:w="0" w:type="dxa"/>
            <w:bottom w:w="0" w:type="dxa"/>
          </w:tblCellMar>
        </w:tblPrEx>
        <w:tc>
          <w:tcPr>
            <w:tcW w:w="22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17" w14:textId="77777777" w:rsidR="007F73D0" w:rsidRDefault="00000000">
            <w:r>
              <w:rPr>
                <w:sz w:val="18"/>
                <w:szCs w:val="18"/>
              </w:rPr>
              <w:t>DEV</w:t>
            </w:r>
          </w:p>
        </w:tc>
        <w:tc>
          <w:tcPr>
            <w:tcW w:w="68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18" w14:textId="77777777" w:rsidR="007F73D0" w:rsidRDefault="00000000">
            <w:r>
              <w:rPr>
                <w:sz w:val="18"/>
                <w:szCs w:val="18"/>
              </w:rPr>
              <w:t>Holds the unmanaged (editable) solution. All building and iteration happens here.</w:t>
            </w:r>
          </w:p>
        </w:tc>
      </w:tr>
      <w:tr w:rsidR="007F73D0" w14:paraId="3283DA1C" w14:textId="77777777">
        <w:tblPrEx>
          <w:tblCellMar>
            <w:top w:w="0" w:type="dxa"/>
            <w:bottom w:w="0" w:type="dxa"/>
          </w:tblCellMar>
        </w:tblPrEx>
        <w:tc>
          <w:tcPr>
            <w:tcW w:w="22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1A" w14:textId="77777777" w:rsidR="007F73D0" w:rsidRDefault="00000000">
            <w:r>
              <w:rPr>
                <w:sz w:val="18"/>
                <w:szCs w:val="18"/>
              </w:rPr>
              <w:t>PROD</w:t>
            </w:r>
          </w:p>
        </w:tc>
        <w:tc>
          <w:tcPr>
            <w:tcW w:w="68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1B" w14:textId="77777777" w:rsidR="007F73D0" w:rsidRDefault="00000000">
            <w:r>
              <w:rPr>
                <w:sz w:val="18"/>
                <w:szCs w:val="18"/>
              </w:rPr>
              <w:t>Receives the managed (locked) solution. No direct edits; changes only arrive through a new managed import.</w:t>
            </w:r>
          </w:p>
        </w:tc>
      </w:tr>
      <w:tr w:rsidR="007F73D0" w14:paraId="3283DA1F" w14:textId="77777777">
        <w:tblPrEx>
          <w:tblCellMar>
            <w:top w:w="0" w:type="dxa"/>
            <w:bottom w:w="0" w:type="dxa"/>
          </w:tblCellMar>
        </w:tblPrEx>
        <w:tc>
          <w:tcPr>
            <w:tcW w:w="22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1D" w14:textId="77777777" w:rsidR="007F73D0" w:rsidRDefault="00000000">
            <w:r>
              <w:rPr>
                <w:sz w:val="18"/>
                <w:szCs w:val="18"/>
              </w:rPr>
              <w:t>Connection references</w:t>
            </w:r>
          </w:p>
        </w:tc>
        <w:tc>
          <w:tcPr>
            <w:tcW w:w="68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1E" w14:textId="77777777" w:rsidR="007F73D0" w:rsidRDefault="00000000">
            <w:r>
              <w:rPr>
                <w:sz w:val="18"/>
                <w:szCs w:val="18"/>
              </w:rPr>
              <w:t>Used for every connector so connections are set once per environment, not baked into each flow.</w:t>
            </w:r>
          </w:p>
        </w:tc>
      </w:tr>
      <w:tr w:rsidR="007F73D0" w14:paraId="3283DA22" w14:textId="77777777">
        <w:tblPrEx>
          <w:tblCellMar>
            <w:top w:w="0" w:type="dxa"/>
            <w:bottom w:w="0" w:type="dxa"/>
          </w:tblCellMar>
        </w:tblPrEx>
        <w:tc>
          <w:tcPr>
            <w:tcW w:w="22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20" w14:textId="77777777" w:rsidR="007F73D0" w:rsidRDefault="00000000">
            <w:r>
              <w:rPr>
                <w:sz w:val="18"/>
                <w:szCs w:val="18"/>
              </w:rPr>
              <w:t>Environment variables</w:t>
            </w:r>
          </w:p>
        </w:tc>
        <w:tc>
          <w:tcPr>
            <w:tcW w:w="68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21" w14:textId="77777777" w:rsidR="007F73D0" w:rsidRDefault="00000000">
            <w:r>
              <w:rPr>
                <w:sz w:val="18"/>
                <w:szCs w:val="18"/>
              </w:rPr>
              <w:t>Hold every value that differs between DEV and PROD (URLs, service mailbox, default thresholds), set at import time.</w:t>
            </w:r>
          </w:p>
        </w:tc>
      </w:tr>
    </w:tbl>
    <w:p w14:paraId="3283DA23" w14:textId="77777777" w:rsidR="007F73D0" w:rsidRDefault="00000000">
      <w:pPr>
        <w:pStyle w:val="Heading2"/>
      </w:pPr>
      <w:bookmarkStart w:id="26" w:name="_Toc235006547"/>
      <w:r>
        <w:t>Dev → Prod promotion</w:t>
      </w:r>
      <w:bookmarkEnd w:id="26"/>
    </w:p>
    <w:p w14:paraId="3283DA24" w14:textId="77777777" w:rsidR="007F73D0" w:rsidRDefault="00000000">
      <w:pPr>
        <w:pStyle w:val="ListParagraph"/>
        <w:numPr>
          <w:ilvl w:val="0"/>
          <w:numId w:val="2"/>
        </w:numPr>
        <w:spacing w:after="70" w:line="268" w:lineRule="auto"/>
      </w:pPr>
      <w:r>
        <w:t>Build and test in DEV against synthetic data until the change is signed off.</w:t>
      </w:r>
    </w:p>
    <w:p w14:paraId="3283DA25" w14:textId="77777777" w:rsidR="007F73D0" w:rsidRDefault="00000000">
      <w:pPr>
        <w:pStyle w:val="ListParagraph"/>
        <w:numPr>
          <w:ilvl w:val="0"/>
          <w:numId w:val="2"/>
        </w:numPr>
        <w:spacing w:after="70" w:line="268" w:lineRule="auto"/>
      </w:pPr>
      <w:r>
        <w:t>Export the solution from DEV as managed, with the version incremented (Section: versioning).</w:t>
      </w:r>
    </w:p>
    <w:p w14:paraId="3283DA26" w14:textId="77777777" w:rsidR="007F73D0" w:rsidRDefault="00000000">
      <w:pPr>
        <w:pStyle w:val="ListParagraph"/>
        <w:numPr>
          <w:ilvl w:val="0"/>
          <w:numId w:val="2"/>
        </w:numPr>
        <w:spacing w:after="70" w:line="268" w:lineRule="auto"/>
      </w:pPr>
      <w:r>
        <w:t>Import into PROD; map connection references to the service-account connections and set environment variables for the PROD values.</w:t>
      </w:r>
    </w:p>
    <w:p w14:paraId="3283DA27" w14:textId="77777777" w:rsidR="007F73D0" w:rsidRDefault="00000000">
      <w:pPr>
        <w:pStyle w:val="ListParagraph"/>
        <w:numPr>
          <w:ilvl w:val="0"/>
          <w:numId w:val="2"/>
        </w:numPr>
        <w:spacing w:after="70" w:line="268" w:lineRule="auto"/>
      </w:pPr>
      <w:r>
        <w:t>Smoke-test in PROD with a single controlled application, then enable the live triggers.</w:t>
      </w:r>
    </w:p>
    <w:p w14:paraId="3283DA28" w14:textId="77777777" w:rsidR="007F73D0" w:rsidRDefault="00000000">
      <w:pPr>
        <w:spacing w:after="140" w:line="276" w:lineRule="auto"/>
      </w:pPr>
      <w:r>
        <w:rPr>
          <w:b/>
          <w:bCs/>
        </w:rPr>
        <w:t xml:space="preserve">Recommended tooling: </w:t>
      </w:r>
      <w:r>
        <w:t>Power Platform Pipelines (built into the Power Platform, no extra licence) to run the export/import promotion with one click and an audit trail. For a solution of this size this is preferred over a full Azure DevOps pipeline; source is still backed up as below.</w:t>
      </w:r>
    </w:p>
    <w:p w14:paraId="3283DA29" w14:textId="77777777" w:rsidR="007F73D0" w:rsidRDefault="00000000">
      <w:pPr>
        <w:pStyle w:val="Heading2"/>
      </w:pPr>
      <w:bookmarkStart w:id="27" w:name="_Toc235006548"/>
      <w:r>
        <w:t>Versioning and source control</w:t>
      </w:r>
      <w:bookmarkEnd w:id="27"/>
    </w:p>
    <w:p w14:paraId="3283DA2A" w14:textId="77777777" w:rsidR="007F73D0" w:rsidRDefault="00000000">
      <w:pPr>
        <w:pStyle w:val="ListParagraph"/>
        <w:numPr>
          <w:ilvl w:val="0"/>
          <w:numId w:val="2"/>
        </w:numPr>
        <w:spacing w:after="70" w:line="268" w:lineRule="auto"/>
      </w:pPr>
      <w:r>
        <w:rPr>
          <w:b/>
          <w:bCs/>
        </w:rPr>
        <w:t xml:space="preserve">Version scheme: </w:t>
      </w:r>
      <w:r>
        <w:t>major.minor.build (e.g. 1.0.0.x). Minor increments for new automations, build increments for fixes.</w:t>
      </w:r>
    </w:p>
    <w:p w14:paraId="3283DA2B" w14:textId="77777777" w:rsidR="007F73D0" w:rsidRDefault="00000000">
      <w:pPr>
        <w:pStyle w:val="ListParagraph"/>
        <w:numPr>
          <w:ilvl w:val="0"/>
          <w:numId w:val="2"/>
        </w:numPr>
        <w:spacing w:after="70" w:line="268" w:lineRule="auto"/>
      </w:pPr>
      <w:r>
        <w:rPr>
          <w:b/>
          <w:bCs/>
        </w:rPr>
        <w:t xml:space="preserve">Backup: </w:t>
      </w:r>
      <w:r>
        <w:t>each released managed solution package (.zip) is retained in the Trustee-separate 'Solution Packages' library / Argelis project store, tagged with its version and release date.</w:t>
      </w:r>
    </w:p>
    <w:p w14:paraId="3283DA2C" w14:textId="77777777" w:rsidR="007F73D0" w:rsidRDefault="00000000">
      <w:pPr>
        <w:pStyle w:val="ListParagraph"/>
        <w:numPr>
          <w:ilvl w:val="0"/>
          <w:numId w:val="2"/>
        </w:numPr>
        <w:spacing w:after="70" w:line="268" w:lineRule="auto"/>
      </w:pPr>
      <w:r>
        <w:rPr>
          <w:b/>
          <w:bCs/>
        </w:rPr>
        <w:t xml:space="preserve">Source of truth: </w:t>
      </w:r>
      <w:r>
        <w:t>the unpacked solution is committed to an Azure DevOps Git repository so every change is diffable and recoverable, per Argelis practice.</w:t>
      </w:r>
    </w:p>
    <w:p w14:paraId="3283DA2D" w14:textId="77777777" w:rsidR="007F73D0" w:rsidRDefault="00000000">
      <w:pPr>
        <w:pStyle w:val="Heading2"/>
      </w:pPr>
      <w:bookmarkStart w:id="28" w:name="_Toc235006549"/>
      <w:r>
        <w:t>Rollback</w:t>
      </w:r>
      <w:bookmarkEnd w:id="28"/>
    </w:p>
    <w:p w14:paraId="3283DA2E" w14:textId="77777777" w:rsidR="007F73D0" w:rsidRDefault="00000000">
      <w:pPr>
        <w:pStyle w:val="ListParagraph"/>
        <w:numPr>
          <w:ilvl w:val="0"/>
          <w:numId w:val="2"/>
        </w:numPr>
        <w:spacing w:after="70" w:line="268" w:lineRule="auto"/>
      </w:pPr>
      <w:r>
        <w:t>Because PROD only ever receives managed solutions, rolling back is re-importing the previous managed package — the retained .zip for the prior version.</w:t>
      </w:r>
    </w:p>
    <w:p w14:paraId="3283DA2F" w14:textId="77777777" w:rsidR="007F73D0" w:rsidRDefault="00000000">
      <w:pPr>
        <w:pStyle w:val="ListParagraph"/>
        <w:numPr>
          <w:ilvl w:val="0"/>
          <w:numId w:val="2"/>
        </w:numPr>
        <w:spacing w:after="70" w:line="268" w:lineRule="auto"/>
      </w:pPr>
      <w:r>
        <w:t>Data (Dataverse tables) is unaffected by solution rollback; only logic and configuration revert.</w:t>
      </w:r>
    </w:p>
    <w:p w14:paraId="3283DA30" w14:textId="77777777" w:rsidR="007F73D0" w:rsidRDefault="00000000">
      <w:pPr>
        <w:pStyle w:val="ListParagraph"/>
        <w:numPr>
          <w:ilvl w:val="0"/>
          <w:numId w:val="2"/>
        </w:numPr>
        <w:spacing w:after="70" w:line="268" w:lineRule="auto"/>
      </w:pPr>
      <w:r>
        <w:t>A pre-deployment checklist and rollback steps are formalised in the ALM runbook (WBS 0.6).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F73D0" w14:paraId="3283DA33" w14:textId="77777777">
        <w:tblPrEx>
          <w:tblCellMar>
            <w:top w:w="0" w:type="dxa"/>
            <w:bottom w:w="0" w:type="dxa"/>
          </w:tblCellMar>
        </w:tblPrEx>
        <w:tc>
          <w:tcPr>
            <w:tcW w:w="9026" w:type="dxa"/>
            <w:tcBorders>
              <w:top w:val="single" w:sz="2" w:space="0" w:color="F7F5F2"/>
              <w:left w:val="single" w:sz="24" w:space="0" w:color="C99A52"/>
              <w:bottom w:val="single" w:sz="2" w:space="0" w:color="F7F5F2"/>
              <w:right w:val="single" w:sz="2" w:space="0" w:color="F7F5F2"/>
            </w:tcBorders>
            <w:shd w:val="clear" w:color="auto" w:fill="F7F5F2"/>
            <w:tcMar>
              <w:top w:w="120" w:type="dxa"/>
              <w:left w:w="200" w:type="dxa"/>
              <w:bottom w:w="120" w:type="dxa"/>
              <w:right w:w="160" w:type="dxa"/>
            </w:tcMar>
          </w:tcPr>
          <w:p w14:paraId="3283DA31" w14:textId="77777777" w:rsidR="007F73D0" w:rsidRDefault="00000000">
            <w:pPr>
              <w:spacing w:after="60"/>
            </w:pPr>
            <w:r>
              <w:rPr>
                <w:b/>
                <w:bCs/>
                <w:color w:val="05132A"/>
                <w:sz w:val="20"/>
                <w:szCs w:val="20"/>
              </w:rPr>
              <w:t>What this buys Revitalise</w:t>
            </w:r>
          </w:p>
          <w:p w14:paraId="3283DA32" w14:textId="77777777" w:rsidR="007F73D0" w:rsidRDefault="00000000">
            <w:pPr>
              <w:spacing w:after="40"/>
            </w:pPr>
            <w:r>
              <w:rPr>
                <w:sz w:val="20"/>
                <w:szCs w:val="20"/>
              </w:rPr>
              <w:lastRenderedPageBreak/>
              <w:t>A change can be built, tested, and shipped without touching the live system, and undone in minutes if something is wrong. The live grant process is never the place where mistakes are discovered.</w:t>
            </w:r>
          </w:p>
        </w:tc>
      </w:tr>
    </w:tbl>
    <w:p w14:paraId="3283DA34" w14:textId="77777777" w:rsidR="007F73D0" w:rsidRDefault="00000000">
      <w:r>
        <w:br w:type="page"/>
      </w:r>
    </w:p>
    <w:p w14:paraId="3283DA35" w14:textId="77777777" w:rsidR="007F73D0" w:rsidRDefault="00000000">
      <w:pPr>
        <w:pStyle w:val="Heading1"/>
      </w:pPr>
      <w:bookmarkStart w:id="29" w:name="_Toc235006550"/>
      <w:r>
        <w:lastRenderedPageBreak/>
        <w:t>8. Data retention and deletion</w:t>
      </w:r>
      <w:bookmarkEnd w:id="29"/>
    </w:p>
    <w:p w14:paraId="3283DA36" w14:textId="77777777" w:rsidR="007F73D0" w:rsidRDefault="00000000">
      <w:pPr>
        <w:spacing w:after="140" w:line="276" w:lineRule="auto"/>
      </w:pPr>
      <w:r>
        <w:t>This section sets how the solution enforces Revitalise's retention policy. Personal data — including the special-category health and disability information the application form collects — is held only as long as Revitalise's published schedule allows, then securely deleted or irreversibly anonymised. The periods below implement Revitalise's Privacy Notice (updated 20 February 2026) as published; Revitalise is the data controller and owns those periods.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F73D0" w14:paraId="3283DA39" w14:textId="77777777">
        <w:tblPrEx>
          <w:tblCellMar>
            <w:top w:w="0" w:type="dxa"/>
            <w:bottom w:w="0" w:type="dxa"/>
          </w:tblCellMar>
        </w:tblPrEx>
        <w:tc>
          <w:tcPr>
            <w:tcW w:w="9026" w:type="dxa"/>
            <w:tcBorders>
              <w:top w:val="single" w:sz="2" w:space="0" w:color="F7F5F2"/>
              <w:left w:val="single" w:sz="24" w:space="0" w:color="C99A52"/>
              <w:bottom w:val="single" w:sz="2" w:space="0" w:color="F7F5F2"/>
              <w:right w:val="single" w:sz="2" w:space="0" w:color="F7F5F2"/>
            </w:tcBorders>
            <w:shd w:val="clear" w:color="auto" w:fill="F7F5F2"/>
            <w:tcMar>
              <w:top w:w="120" w:type="dxa"/>
              <w:left w:w="200" w:type="dxa"/>
              <w:bottom w:w="120" w:type="dxa"/>
              <w:right w:w="160" w:type="dxa"/>
            </w:tcMar>
          </w:tcPr>
          <w:p w14:paraId="3283DA37" w14:textId="77777777" w:rsidR="007F73D0" w:rsidRDefault="00000000">
            <w:pPr>
              <w:spacing w:after="60"/>
            </w:pPr>
            <w:r>
              <w:rPr>
                <w:b/>
                <w:bCs/>
                <w:color w:val="05132A"/>
                <w:sz w:val="20"/>
                <w:szCs w:val="20"/>
              </w:rPr>
              <w:t>Source of truth</w:t>
            </w:r>
          </w:p>
          <w:p w14:paraId="3283DA38" w14:textId="77777777" w:rsidR="007F73D0" w:rsidRDefault="00000000">
            <w:pPr>
              <w:spacing w:after="40"/>
            </w:pPr>
            <w:r>
              <w:rPr>
                <w:sz w:val="20"/>
                <w:szCs w:val="20"/>
              </w:rPr>
              <w:t>This schema implements the retention schedule and lawful-basis analysis in Revitalise's published Privacy Notice (UK GDPR Article 6, plus Article 9(2)(b) social protection and 9(2)(h) health and social care for special-category data). It translates those periods into enforceable technical rules — it does not change them. Operational GDPR detail (DPIA, record of processing, DLP configuration) is completed in the Data Governance framework, WBS 0.7.</w:t>
            </w:r>
          </w:p>
        </w:tc>
      </w:tr>
    </w:tbl>
    <w:p w14:paraId="3283DA3A" w14:textId="77777777" w:rsidR="007F73D0" w:rsidRDefault="00000000">
      <w:pPr>
        <w:pStyle w:val="Heading2"/>
      </w:pPr>
      <w:bookmarkStart w:id="30" w:name="_Toc235006551"/>
      <w:r>
        <w:t>Retention schedule (as implemented)</w:t>
      </w:r>
      <w:bookmarkEnd w:id="30"/>
    </w:p>
    <w:p w14:paraId="3283DA3B" w14:textId="77777777" w:rsidR="007F73D0" w:rsidRDefault="00000000">
      <w:pPr>
        <w:spacing w:after="140" w:line="276" w:lineRule="auto"/>
      </w:pPr>
      <w:r>
        <w:t>Each application record carries a status and key dates. The retention clock is driven by status plus date and enforced automatically, so no record depends on someone remembering to delete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
        <w:gridCol w:w="2613"/>
        <w:gridCol w:w="2640"/>
        <w:gridCol w:w="1200"/>
        <w:gridCol w:w="2515"/>
        <w:gridCol w:w="29"/>
      </w:tblGrid>
      <w:tr w:rsidR="007F73D0" w14:paraId="3283DA40" w14:textId="77777777">
        <w:tblPrEx>
          <w:tblCellMar>
            <w:top w:w="0" w:type="dxa"/>
            <w:bottom w:w="0" w:type="dxa"/>
          </w:tblCellMar>
        </w:tblPrEx>
        <w:trPr>
          <w:gridAfter w:val="1"/>
          <w:wAfter w:w="29" w:type="dxa"/>
          <w:tblHeader/>
        </w:trPr>
        <w:tc>
          <w:tcPr>
            <w:tcW w:w="2650" w:type="dxa"/>
            <w:gridSpan w:val="2"/>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A3C" w14:textId="77777777" w:rsidR="007F73D0" w:rsidRDefault="00000000">
            <w:r>
              <w:rPr>
                <w:b/>
                <w:bCs/>
                <w:color w:val="FFFFFF"/>
                <w:sz w:val="19"/>
                <w:szCs w:val="19"/>
              </w:rPr>
              <w:t>Data / outcome</w:t>
            </w:r>
          </w:p>
        </w:tc>
        <w:tc>
          <w:tcPr>
            <w:tcW w:w="265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A3D" w14:textId="77777777" w:rsidR="007F73D0" w:rsidRDefault="00000000">
            <w:r>
              <w:rPr>
                <w:b/>
                <w:bCs/>
                <w:color w:val="FFFFFF"/>
                <w:sz w:val="19"/>
                <w:szCs w:val="19"/>
              </w:rPr>
              <w:t>System trigger (status + date)</w:t>
            </w:r>
          </w:p>
        </w:tc>
        <w:tc>
          <w:tcPr>
            <w:tcW w:w="12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A3E" w14:textId="77777777" w:rsidR="007F73D0" w:rsidRDefault="00000000">
            <w:r>
              <w:rPr>
                <w:b/>
                <w:bCs/>
                <w:color w:val="FFFFFF"/>
                <w:sz w:val="19"/>
                <w:szCs w:val="19"/>
              </w:rPr>
              <w:t>Retention</w:t>
            </w:r>
          </w:p>
        </w:tc>
        <w:tc>
          <w:tcPr>
            <w:tcW w:w="2526"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A3F" w14:textId="77777777" w:rsidR="007F73D0" w:rsidRDefault="00000000">
            <w:r>
              <w:rPr>
                <w:b/>
                <w:bCs/>
                <w:color w:val="FFFFFF"/>
                <w:sz w:val="19"/>
                <w:szCs w:val="19"/>
              </w:rPr>
              <w:t>Then</w:t>
            </w:r>
          </w:p>
        </w:tc>
      </w:tr>
      <w:tr w:rsidR="007F73D0" w14:paraId="3283DA45" w14:textId="77777777">
        <w:tblPrEx>
          <w:tblCellMar>
            <w:top w:w="0" w:type="dxa"/>
            <w:bottom w:w="0" w:type="dxa"/>
          </w:tblCellMar>
        </w:tblPrEx>
        <w:trPr>
          <w:gridAfter w:val="1"/>
          <w:wAfter w:w="29" w:type="dxa"/>
        </w:trPr>
        <w:tc>
          <w:tcPr>
            <w:tcW w:w="2650" w:type="dxa"/>
            <w:gridSpan w:val="2"/>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41" w14:textId="77777777" w:rsidR="007F73D0" w:rsidRDefault="00000000">
            <w:r>
              <w:rPr>
                <w:sz w:val="18"/>
                <w:szCs w:val="18"/>
              </w:rPr>
              <w:t>Successful grant — full record incl. health free-text</w:t>
            </w:r>
          </w:p>
        </w:tc>
        <w:tc>
          <w:tcPr>
            <w:tcW w:w="26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42" w14:textId="77777777" w:rsidR="007F73D0" w:rsidRDefault="00000000">
            <w:r>
              <w:rPr>
                <w:sz w:val="18"/>
                <w:szCs w:val="18"/>
              </w:rPr>
              <w:t>Status = Grant Paid; from final payment date</w:t>
            </w:r>
          </w:p>
        </w:tc>
        <w:tc>
          <w:tcPr>
            <w:tcW w:w="12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43" w14:textId="77777777" w:rsidR="007F73D0" w:rsidRDefault="00000000">
            <w:r>
              <w:rPr>
                <w:sz w:val="18"/>
                <w:szCs w:val="18"/>
              </w:rPr>
              <w:t>6 years</w:t>
            </w:r>
          </w:p>
        </w:tc>
        <w:tc>
          <w:tcPr>
            <w:tcW w:w="25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44" w14:textId="77777777" w:rsidR="007F73D0" w:rsidRDefault="00000000">
            <w:r>
              <w:rPr>
                <w:sz w:val="18"/>
                <w:szCs w:val="18"/>
              </w:rPr>
              <w:t>Delete full record</w:t>
            </w:r>
          </w:p>
        </w:tc>
      </w:tr>
      <w:tr w:rsidR="007F73D0" w14:paraId="3283DA4A" w14:textId="77777777">
        <w:tblPrEx>
          <w:tblCellMar>
            <w:top w:w="0" w:type="dxa"/>
            <w:bottom w:w="0" w:type="dxa"/>
          </w:tblCellMar>
        </w:tblPrEx>
        <w:trPr>
          <w:gridAfter w:val="1"/>
          <w:wAfter w:w="29" w:type="dxa"/>
        </w:trPr>
        <w:tc>
          <w:tcPr>
            <w:tcW w:w="2650" w:type="dxa"/>
            <w:gridSpan w:val="2"/>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46" w14:textId="77777777" w:rsidR="007F73D0" w:rsidRDefault="00000000">
            <w:r>
              <w:rPr>
                <w:sz w:val="18"/>
                <w:szCs w:val="18"/>
              </w:rPr>
              <w:t>Unsuccessful application</w:t>
            </w:r>
          </w:p>
        </w:tc>
        <w:tc>
          <w:tcPr>
            <w:tcW w:w="265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47" w14:textId="77777777" w:rsidR="007F73D0" w:rsidRDefault="00000000">
            <w:r>
              <w:rPr>
                <w:sz w:val="18"/>
                <w:szCs w:val="18"/>
              </w:rPr>
              <w:t>Status = Rejected; from decision date</w:t>
            </w:r>
          </w:p>
        </w:tc>
        <w:tc>
          <w:tcPr>
            <w:tcW w:w="12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48" w14:textId="77777777" w:rsidR="007F73D0" w:rsidRDefault="00000000">
            <w:r>
              <w:rPr>
                <w:sz w:val="18"/>
                <w:szCs w:val="18"/>
              </w:rPr>
              <w:t>12 months</w:t>
            </w:r>
          </w:p>
        </w:tc>
        <w:tc>
          <w:tcPr>
            <w:tcW w:w="25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49" w14:textId="77777777" w:rsidR="007F73D0" w:rsidRDefault="00000000">
            <w:r>
              <w:rPr>
                <w:sz w:val="18"/>
                <w:szCs w:val="18"/>
              </w:rPr>
              <w:t>Delete full record</w:t>
            </w:r>
          </w:p>
        </w:tc>
      </w:tr>
      <w:tr w:rsidR="007F73D0" w14:paraId="3283DA4F" w14:textId="77777777">
        <w:tblPrEx>
          <w:tblCellMar>
            <w:top w:w="0" w:type="dxa"/>
            <w:bottom w:w="0" w:type="dxa"/>
          </w:tblCellMar>
        </w:tblPrEx>
        <w:trPr>
          <w:gridAfter w:val="1"/>
          <w:wAfter w:w="29" w:type="dxa"/>
        </w:trPr>
        <w:tc>
          <w:tcPr>
            <w:tcW w:w="2650" w:type="dxa"/>
            <w:gridSpan w:val="2"/>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4B" w14:textId="77777777" w:rsidR="007F73D0" w:rsidRDefault="00000000">
            <w:r>
              <w:rPr>
                <w:sz w:val="18"/>
                <w:szCs w:val="18"/>
              </w:rPr>
              <w:t>Withdrawn / incomplete</w:t>
            </w:r>
          </w:p>
        </w:tc>
        <w:tc>
          <w:tcPr>
            <w:tcW w:w="26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4C" w14:textId="77777777" w:rsidR="007F73D0" w:rsidRDefault="00000000">
            <w:r>
              <w:rPr>
                <w:sz w:val="18"/>
                <w:szCs w:val="18"/>
              </w:rPr>
              <w:t>Status = Withdrawn / Incomplete; from last contact</w:t>
            </w:r>
          </w:p>
        </w:tc>
        <w:tc>
          <w:tcPr>
            <w:tcW w:w="12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4D" w14:textId="77777777" w:rsidR="007F73D0" w:rsidRDefault="00000000">
            <w:r>
              <w:rPr>
                <w:sz w:val="18"/>
                <w:szCs w:val="18"/>
              </w:rPr>
              <w:t>6 months</w:t>
            </w:r>
          </w:p>
        </w:tc>
        <w:tc>
          <w:tcPr>
            <w:tcW w:w="25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4E" w14:textId="77777777" w:rsidR="007F73D0" w:rsidRDefault="00000000">
            <w:r>
              <w:rPr>
                <w:sz w:val="18"/>
                <w:szCs w:val="18"/>
              </w:rPr>
              <w:t>Delete full record</w:t>
            </w:r>
          </w:p>
        </w:tc>
      </w:tr>
      <w:tr w:rsidR="007F73D0" w14:paraId="3283DA54" w14:textId="77777777">
        <w:tblPrEx>
          <w:tblCellMar>
            <w:top w:w="0" w:type="dxa"/>
            <w:bottom w:w="0" w:type="dxa"/>
          </w:tblCellMar>
        </w:tblPrEx>
        <w:trPr>
          <w:gridAfter w:val="1"/>
          <w:wAfter w:w="29" w:type="dxa"/>
        </w:trPr>
        <w:tc>
          <w:tcPr>
            <w:tcW w:w="2650" w:type="dxa"/>
            <w:gridSpan w:val="2"/>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50" w14:textId="77777777" w:rsidR="007F73D0" w:rsidRDefault="00000000">
            <w:r>
              <w:rPr>
                <w:sz w:val="18"/>
                <w:szCs w:val="18"/>
              </w:rPr>
              <w:t>Monitoring &amp; evaluation (pseudonymised, linked by reference)</w:t>
            </w:r>
          </w:p>
        </w:tc>
        <w:tc>
          <w:tcPr>
            <w:tcW w:w="265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51" w14:textId="77777777" w:rsidR="007F73D0" w:rsidRDefault="00000000">
            <w:r>
              <w:rPr>
                <w:sz w:val="18"/>
                <w:szCs w:val="18"/>
              </w:rPr>
              <w:t>Follows its parent grant record</w:t>
            </w:r>
          </w:p>
        </w:tc>
        <w:tc>
          <w:tcPr>
            <w:tcW w:w="12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52" w14:textId="77777777" w:rsidR="007F73D0" w:rsidRDefault="00000000">
            <w:r>
              <w:rPr>
                <w:sz w:val="18"/>
                <w:szCs w:val="18"/>
              </w:rPr>
              <w:t>Same as record</w:t>
            </w:r>
          </w:p>
        </w:tc>
        <w:tc>
          <w:tcPr>
            <w:tcW w:w="25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53" w14:textId="77777777" w:rsidR="007F73D0" w:rsidRDefault="00000000">
            <w:r>
              <w:rPr>
                <w:sz w:val="18"/>
                <w:szCs w:val="18"/>
              </w:rPr>
              <w:t>Delete with record</w:t>
            </w:r>
          </w:p>
        </w:tc>
      </w:tr>
      <w:tr w:rsidR="007F73D0" w14:paraId="3283DA59" w14:textId="77777777">
        <w:tblPrEx>
          <w:tblCellMar>
            <w:top w:w="0" w:type="dxa"/>
            <w:bottom w:w="0" w:type="dxa"/>
          </w:tblCellMar>
        </w:tblPrEx>
        <w:trPr>
          <w:gridAfter w:val="1"/>
          <w:wAfter w:w="29" w:type="dxa"/>
        </w:trPr>
        <w:tc>
          <w:tcPr>
            <w:tcW w:w="2650" w:type="dxa"/>
            <w:gridSpan w:val="2"/>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55" w14:textId="77777777" w:rsidR="007F73D0" w:rsidRDefault="00000000">
            <w:r>
              <w:rPr>
                <w:sz w:val="18"/>
                <w:szCs w:val="18"/>
              </w:rPr>
              <w:t>Signed acceptance PDF</w:t>
            </w:r>
          </w:p>
        </w:tc>
        <w:tc>
          <w:tcPr>
            <w:tcW w:w="26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56" w14:textId="77777777" w:rsidR="007F73D0" w:rsidRDefault="00000000">
            <w:r>
              <w:rPr>
                <w:sz w:val="18"/>
                <w:szCs w:val="18"/>
              </w:rPr>
              <w:t>Attached to the grant record</w:t>
            </w:r>
          </w:p>
        </w:tc>
        <w:tc>
          <w:tcPr>
            <w:tcW w:w="12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57" w14:textId="77777777" w:rsidR="007F73D0" w:rsidRDefault="00000000">
            <w:r>
              <w:rPr>
                <w:sz w:val="18"/>
                <w:szCs w:val="18"/>
              </w:rPr>
              <w:t>6 years (with record)</w:t>
            </w:r>
          </w:p>
        </w:tc>
        <w:tc>
          <w:tcPr>
            <w:tcW w:w="25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58" w14:textId="77777777" w:rsidR="007F73D0" w:rsidRDefault="00000000">
            <w:r>
              <w:rPr>
                <w:sz w:val="18"/>
                <w:szCs w:val="18"/>
              </w:rPr>
              <w:t>Delete with record</w:t>
            </w:r>
          </w:p>
        </w:tc>
      </w:tr>
      <w:tr w:rsidR="007F73D0" w14:paraId="3283DA5E" w14:textId="77777777">
        <w:tblPrEx>
          <w:tblCellMar>
            <w:top w:w="0" w:type="dxa"/>
            <w:bottom w:w="0" w:type="dxa"/>
          </w:tblCellMar>
        </w:tblPrEx>
        <w:trPr>
          <w:gridAfter w:val="1"/>
          <w:wAfter w:w="29" w:type="dxa"/>
        </w:trPr>
        <w:tc>
          <w:tcPr>
            <w:tcW w:w="2650" w:type="dxa"/>
            <w:gridSpan w:val="2"/>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5A" w14:textId="77777777" w:rsidR="007F73D0" w:rsidRDefault="00000000">
            <w:r>
              <w:rPr>
                <w:sz w:val="18"/>
                <w:szCs w:val="18"/>
              </w:rPr>
              <w:t>Financial record (name, amount, date) — QuickBooks</w:t>
            </w:r>
          </w:p>
        </w:tc>
        <w:tc>
          <w:tcPr>
            <w:tcW w:w="265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5B" w14:textId="77777777" w:rsidR="007F73D0" w:rsidRDefault="00000000">
            <w:r>
              <w:rPr>
                <w:sz w:val="18"/>
                <w:szCs w:val="18"/>
              </w:rPr>
              <w:t>Status = Grant Paid</w:t>
            </w:r>
          </w:p>
        </w:tc>
        <w:tc>
          <w:tcPr>
            <w:tcW w:w="12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5C" w14:textId="77777777" w:rsidR="007F73D0" w:rsidRDefault="00000000">
            <w:r>
              <w:rPr>
                <w:sz w:val="18"/>
                <w:szCs w:val="18"/>
              </w:rPr>
              <w:t>6 years</w:t>
            </w:r>
          </w:p>
        </w:tc>
        <w:tc>
          <w:tcPr>
            <w:tcW w:w="25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5D" w14:textId="77777777" w:rsidR="007F73D0" w:rsidRDefault="00000000">
            <w:r>
              <w:rPr>
                <w:sz w:val="18"/>
                <w:szCs w:val="18"/>
              </w:rPr>
              <w:t>Per finance policy</w:t>
            </w:r>
          </w:p>
        </w:tc>
      </w:tr>
      <w:tr w:rsidR="007F73D0" w14:paraId="3283DA63" w14:textId="77777777">
        <w:tblPrEx>
          <w:tblCellMar>
            <w:top w:w="0" w:type="dxa"/>
            <w:bottom w:w="0" w:type="dxa"/>
          </w:tblCellMar>
        </w:tblPrEx>
        <w:trPr>
          <w:gridAfter w:val="1"/>
          <w:wAfter w:w="29" w:type="dxa"/>
        </w:trPr>
        <w:tc>
          <w:tcPr>
            <w:tcW w:w="2650" w:type="dxa"/>
            <w:gridSpan w:val="2"/>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5F" w14:textId="77777777" w:rsidR="007F73D0" w:rsidRDefault="00000000">
            <w:r>
              <w:rPr>
                <w:sz w:val="18"/>
                <w:szCs w:val="18"/>
              </w:rPr>
              <w:t>Irreversibly anonymised statistics</w:t>
            </w:r>
          </w:p>
        </w:tc>
        <w:tc>
          <w:tcPr>
            <w:tcW w:w="265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60" w14:textId="77777777" w:rsidR="007F73D0" w:rsidRDefault="00000000">
            <w:r>
              <w:rPr>
                <w:sz w:val="18"/>
                <w:szCs w:val="18"/>
              </w:rPr>
              <w:t>No identifiers; not linkable</w:t>
            </w:r>
          </w:p>
        </w:tc>
        <w:tc>
          <w:tcPr>
            <w:tcW w:w="12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61" w14:textId="77777777" w:rsidR="007F73D0" w:rsidRDefault="00000000">
            <w:r>
              <w:rPr>
                <w:sz w:val="18"/>
                <w:szCs w:val="18"/>
              </w:rPr>
              <w:t>Indefinite</w:t>
            </w:r>
          </w:p>
        </w:tc>
        <w:tc>
          <w:tcPr>
            <w:tcW w:w="25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62" w14:textId="77777777" w:rsidR="007F73D0" w:rsidRDefault="00000000">
            <w:r>
              <w:rPr>
                <w:sz w:val="18"/>
                <w:szCs w:val="18"/>
              </w:rPr>
              <w:t>Retain</w:t>
            </w:r>
          </w:p>
        </w:tc>
      </w:tr>
      <w:tr w:rsidR="007F73D0" w14:paraId="3283DA66" w14:textId="77777777">
        <w:tblPrEx>
          <w:tblCellMar>
            <w:top w:w="0" w:type="dxa"/>
            <w:bottom w:w="0" w:type="dxa"/>
          </w:tblCellMar>
        </w:tblPrEx>
        <w:trPr>
          <w:gridBefore w:val="1"/>
          <w:wBefore w:w="29" w:type="dxa"/>
        </w:trPr>
        <w:tc>
          <w:tcPr>
            <w:tcW w:w="9026" w:type="dxa"/>
            <w:gridSpan w:val="5"/>
            <w:tcBorders>
              <w:top w:val="single" w:sz="2" w:space="0" w:color="F7F5F2"/>
              <w:left w:val="single" w:sz="24" w:space="0" w:color="C99A52"/>
              <w:bottom w:val="single" w:sz="2" w:space="0" w:color="F7F5F2"/>
              <w:right w:val="single" w:sz="2" w:space="0" w:color="F7F5F2"/>
            </w:tcBorders>
            <w:shd w:val="clear" w:color="auto" w:fill="F7F5F2"/>
            <w:tcMar>
              <w:top w:w="120" w:type="dxa"/>
              <w:left w:w="200" w:type="dxa"/>
              <w:bottom w:w="120" w:type="dxa"/>
              <w:right w:w="160" w:type="dxa"/>
            </w:tcMar>
          </w:tcPr>
          <w:p w14:paraId="3283DA64" w14:textId="77777777" w:rsidR="007F73D0" w:rsidRDefault="00000000">
            <w:pPr>
              <w:spacing w:after="60"/>
            </w:pPr>
            <w:r>
              <w:rPr>
                <w:b/>
                <w:bCs/>
                <w:color w:val="05132A"/>
                <w:sz w:val="20"/>
                <w:szCs w:val="20"/>
              </w:rPr>
              <w:t>Policy as published</w:t>
            </w:r>
          </w:p>
          <w:p w14:paraId="3283DA65" w14:textId="77777777" w:rsidR="007F73D0" w:rsidRDefault="00000000">
            <w:pPr>
              <w:spacing w:after="40"/>
            </w:pPr>
            <w:r>
              <w:rPr>
                <w:sz w:val="20"/>
                <w:szCs w:val="20"/>
              </w:rPr>
              <w:t>Per Revitalise's current policy, the full successful-grant record — including the health and disability free-text — is retained for the 6-year financial-record period (Charities Act 2011). The architecture is built so special-category free-text can be redacted earlier if Revitalise's DPO later opts for tighter minimisation; that is a configuration change, not a rebuild.</w:t>
            </w:r>
          </w:p>
        </w:tc>
      </w:tr>
    </w:tbl>
    <w:p w14:paraId="3283DA67" w14:textId="77777777" w:rsidR="007F73D0" w:rsidRDefault="00000000">
      <w:pPr>
        <w:pStyle w:val="Heading2"/>
      </w:pPr>
      <w:bookmarkStart w:id="31" w:name="_Toc235006552"/>
      <w:r>
        <w:t>How deletion is enforced</w:t>
      </w:r>
      <w:bookmarkEnd w:id="31"/>
    </w:p>
    <w:p w14:paraId="3283DA68" w14:textId="77777777" w:rsidR="007F73D0" w:rsidRDefault="00000000">
      <w:pPr>
        <w:pStyle w:val="ListParagraph"/>
        <w:numPr>
          <w:ilvl w:val="0"/>
          <w:numId w:val="2"/>
        </w:numPr>
        <w:spacing w:after="70" w:line="268" w:lineRule="auto"/>
      </w:pPr>
      <w:r>
        <w:rPr>
          <w:b/>
          <w:bCs/>
        </w:rPr>
        <w:t xml:space="preserve">Native scheduled deletion (primary): a recurring Dataverse bulk delete job runs monthly against a query — records whose status and date have passed their retention period — and deletes the matching rows. Because the Review, Grant and Payment rows hang off the Application through cascade-delete relationships, deleting the Application removes the whole case in one operation, rather than reconciling four separate stores. This is a native Dataverse capability, configured </w:t>
        <w:lastRenderedPageBreak/>
        <w:t>once by an admin and logged as a system job; it needs no custom sweep flow and no licence beyond the Dataverse entitlements already in place (see Section 9). A query-based monthly sweep is exactly what the retention schedule calls for.</w:t>
      </w:r>
    </w:p>
    <w:p w14:paraId="3283DA69" w14:textId="77777777" w:rsidR="007F73D0" w:rsidRDefault="00000000">
      <w:pPr>
        <w:pStyle w:val="ListParagraph"/>
      </w:pPr>
      <w:r>
        <w:t>Retention &amp; erasure helper flow (residual): a light Power Automate flow handles only what the native job cannot — purging the matching DocuSign envelope, honouring the QuickBooks finance-retention carve-out, and running on-demand erasure with the legal-hold carve-out applied. It reuses the service account's Power Automate Premium licence, so it adds no recurring cost.</w:t>
      </w:r>
    </w:p>
    <w:p w14:paraId="3283DA6A" w14:textId="77777777" w:rsidR="007F73D0" w:rsidRDefault="00000000">
      <w:pPr>
        <w:pStyle w:val="ListParagraph"/>
        <w:numPr>
          <w:ilvl w:val="0"/>
          <w:numId w:val="2"/>
        </w:numPr>
        <w:spacing w:after="70" w:line="268" w:lineRule="auto"/>
      </w:pPr>
      <w:r>
        <w:rPr>
          <w:b/>
          <w:bCs/>
        </w:rPr>
        <w:t>Purview retention labels (backstop): basic labels applied to the Application table and the signed-document library as a time-based safety net, so nothing survives well past its period even if a job is paused. Business Premium supports basic retention labels only; the status-aware enforcement is done by the native bulk delete jobs, not Purview.</w:t>
      </w:r>
    </w:p>
    <w:p w14:paraId="3283DA6B" w14:textId="77777777" w:rsidR="007F73D0" w:rsidRDefault="00000000">
      <w:pPr>
        <w:pStyle w:val="ListParagraph"/>
        <w:numPr>
          <w:ilvl w:val="0"/>
          <w:numId w:val="2"/>
        </w:numPr>
        <w:spacing w:after="70" w:line="268" w:lineRule="auto"/>
      </w:pPr>
      <w:r>
        <w:rPr>
          <w:b/>
          <w:bCs/>
        </w:rPr>
        <w:t>Deletion log: each bulk delete job is recorded as a Dataverse system job, and native field-change auditing logs every change to the tables, so the accountability trail required under UK GDPR Article 5(2) is largely native. An explicit consolidated deletion log (record reference, data type, date, rule applied — holding no personal data) is kept if the DPO wants a single evidence record.</w:t>
      </w:r>
    </w:p>
    <w:p w14:paraId="3283DA6C" w14:textId="77777777" w:rsidR="007F73D0" w:rsidRDefault="00000000">
      <w:pPr>
        <w:pStyle w:val="ListParagraph"/>
        <w:numPr>
          <w:ilvl w:val="0"/>
          <w:numId w:val="2"/>
        </w:numPr>
        <w:spacing w:after="70" w:line="268" w:lineRule="auto"/>
      </w:pPr>
      <w:r>
        <w:rPr>
          <w:b/>
          <w:bCs/>
        </w:rPr>
        <w:t>Reconciled copies: deletion accounts for the systems that hold copies — Dataverse backups (point-in-time restore), the signed-PDF library, DocuSign (envelope purge set to match), and QuickBooks (retained under the finance policy). Backup interaction is confirmed in 0.7.</w:t>
      </w:r>
    </w:p>
    <w:p w14:paraId="3283DA6D" w14:textId="77777777" w:rsidR="007F73D0" w:rsidRDefault="00000000">
      <w:pPr>
        <w:pStyle w:val="Heading2"/>
      </w:pPr>
      <w:bookmarkStart w:id="32" w:name="_Toc235006553"/>
      <w:r>
        <w:t>Pseudonymised versus anonymised data</w:t>
      </w:r>
      <w:bookmarkEnd w:id="32"/>
    </w:p>
    <w:p w14:paraId="3283DA6E" w14:textId="77777777" w:rsidR="007F73D0" w:rsidRDefault="00000000">
      <w:pPr>
        <w:spacing w:after="140" w:line="276" w:lineRule="auto"/>
      </w:pPr>
      <w:r>
        <w:t>Field-level security hides direct identifiers from trustees, but wherever a record stays linkable to an applicant by reference number it is pseudonymised — still personal data under UK GDPR, and it follows the same retention clock as its grant record. Only the Anonymised Statistic snapshot — written at outcome with no identifiers and never linked back — is treated as anonymised and kept indefinitely for reporting. The sweep flow deletes pseudonymised monitoring data together with its parent record.</w:t>
      </w:r>
    </w:p>
    <w:p w14:paraId="3283DA6F" w14:textId="77777777" w:rsidR="007F73D0" w:rsidRDefault="00000000">
      <w:pPr>
        <w:pStyle w:val="Heading2"/>
      </w:pPr>
      <w:bookmarkStart w:id="33" w:name="_Toc235006554"/>
      <w:r>
        <w:t>Right to erasure</w:t>
      </w:r>
      <w:bookmarkEnd w:id="33"/>
    </w:p>
    <w:p w14:paraId="3283DA70" w14:textId="77777777" w:rsidR="007F73D0" w:rsidRDefault="00000000">
      <w:pPr>
        <w:spacing w:after="140" w:line="276" w:lineRule="auto"/>
      </w:pPr>
      <w:r>
        <w:t>Erasure requests (UK GDPR Article 17) are handled by an on-demand bulk delete for a single applicant reference; the cascade removes the related Review, Grant and Payment rows, with the legal-hold carve-out preserving the 6-year financial record.</w:t>
      </w:r>
    </w:p>
    <w:p w14:paraId="3283DA71" w14:textId="77777777" w:rsidR="007F73D0" w:rsidRDefault="00000000">
      <w:pPr>
        <w:pStyle w:val="ListParagraph"/>
        <w:numPr>
          <w:ilvl w:val="0"/>
          <w:numId w:val="2"/>
        </w:numPr>
        <w:spacing w:after="70" w:line="268" w:lineRule="auto"/>
      </w:pPr>
      <w:r>
        <w:t>Locates all of an individual's data across the Applicant, Application, Review, Grant and Payment tables, the signed-PDF library, DocuSign, and QuickBooks by reference / identifier — including referees, helpers, group members, and emergency contacts captured with the application.</w:t>
      </w:r>
    </w:p>
    <w:p w14:paraId="3283DA72" w14:textId="77777777" w:rsidR="007F73D0" w:rsidRDefault="00000000">
      <w:pPr>
        <w:pStyle w:val="ListParagraph"/>
        <w:numPr>
          <w:ilvl w:val="0"/>
          <w:numId w:val="2"/>
        </w:numPr>
        <w:spacing w:after="70" w:line="268" w:lineRule="auto"/>
      </w:pPr>
      <w:r>
        <w:t>Honours legal-hold carve-outs: data required for the 6-year Charities Act / financial duty or for safeguarding is retained, and the requester is told which data cannot yet be deleted — matching the Privacy Notice's stated position.</w:t>
      </w:r>
    </w:p>
    <w:p w14:paraId="3283DA73" w14:textId="77777777" w:rsidR="007F73D0" w:rsidRDefault="00000000">
      <w:pPr>
        <w:pStyle w:val="ListParagraph"/>
        <w:numPr>
          <w:ilvl w:val="0"/>
          <w:numId w:val="2"/>
        </w:numPr>
        <w:spacing w:after="70" w:line="268" w:lineRule="auto"/>
      </w:pPr>
      <w:r>
        <w:t>Logs the request and the action taken.</w:t>
      </w:r>
    </w:p>
    <w:p w14:paraId="3283DA74" w14:textId="77777777" w:rsidR="007F73D0" w:rsidRDefault="00000000">
      <w:pPr>
        <w:pStyle w:val="Heading2"/>
      </w:pPr>
      <w:bookmarkStart w:id="34" w:name="_Toc235006555"/>
      <w:r>
        <w:t>Compliance guardrails built into the design</w:t>
      </w:r>
      <w:bookmarkEnd w:id="34"/>
    </w:p>
    <w:p w14:paraId="3283DA75" w14:textId="77777777" w:rsidR="007F73D0" w:rsidRDefault="00000000">
      <w:pPr>
        <w:spacing w:after="140" w:line="276" w:lineRule="auto"/>
      </w:pPr>
      <w:r>
        <w:t>Three constraints are designed in so the automation stays inside Revitalise's published position and current UK law (the Data (Use and Access) Act 2025, in force 5 February 2026).</w:t>
      </w:r>
    </w:p>
    <w:p w14:paraId="3283DA76" w14:textId="77777777" w:rsidR="007F73D0" w:rsidRDefault="00000000">
      <w:pPr>
        <w:pStyle w:val="ListParagraph"/>
        <w:numPr>
          <w:ilvl w:val="0"/>
          <w:numId w:val="2"/>
        </w:numPr>
        <w:spacing w:after="70" w:line="268" w:lineRule="auto"/>
      </w:pPr>
      <w:r>
        <w:rPr>
          <w:b/>
          <w:bCs/>
        </w:rPr>
        <w:t xml:space="preserve">Automated scoring with human oversight. </w:t>
      </w:r>
      <w:r>
        <w:lastRenderedPageBreak/>
        <w:t>The scoring flow calculates each circumstance score from the applicant's wellbeing answers and applies the knockout threshold and income ceiling held in Settings, then sets the status — auto-pass, borderline or auto-reject — with no manual re-scoring. Emily reviews the borderline cases the flow flags and can adjust the threshold or override any outcome; trustees make the funding decision on eligible applications. The disability and health condition data and the free-text narrative do not feed the score. Whether automatic rejection at the threshold satisfies Revitalise's automated-decision position under the DUAA 2025 is confirmed by the DPO before go-live.</w:t>
      </w:r>
    </w:p>
    <w:p w14:paraId="3283DA77" w14:textId="77777777" w:rsidR="007F73D0" w:rsidRDefault="00000000">
      <w:pPr>
        <w:pStyle w:val="ListParagraph"/>
        <w:numPr>
          <w:ilvl w:val="0"/>
          <w:numId w:val="2"/>
        </w:numPr>
        <w:spacing w:after="70" w:line="268" w:lineRule="auto"/>
      </w:pPr>
      <w:r>
        <w:rPr>
          <w:b/>
          <w:bCs/>
        </w:rPr>
        <w:t xml:space="preserve">UK data residency. </w:t>
      </w:r>
      <w:r>
        <w:t>The Power Platform environments, AI Builder, DocuSign, and QuickBooks Online connections are configured to keep processing within the UK, matching the 'no transfers outside the UK' commitment. Residency is verified during environment setup (0.2) and integration build.</w:t>
      </w:r>
    </w:p>
    <w:p w14:paraId="3283DA78" w14:textId="77777777" w:rsidR="007F73D0" w:rsidRDefault="00000000">
      <w:pPr>
        <w:pStyle w:val="ListParagraph"/>
        <w:numPr>
          <w:ilvl w:val="0"/>
          <w:numId w:val="2"/>
        </w:numPr>
        <w:spacing w:after="70" w:line="268" w:lineRule="auto"/>
      </w:pPr>
      <w:r>
        <w:rPr>
          <w:b/>
          <w:bCs/>
        </w:rPr>
        <w:t>Least-privilege access to health data. Special-category fields are readable only by the service account and Emily's role; trustees receive only the columns the field-level security profile permits — enforced by the Dataverse security model (0.5). Bank details and payments are visible only to the finance role.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F73D0" w14:paraId="3283DA7B" w14:textId="77777777">
        <w:tblPrEx>
          <w:tblCellMar>
            <w:top w:w="0" w:type="dxa"/>
            <w:bottom w:w="0" w:type="dxa"/>
          </w:tblCellMar>
        </w:tblPrEx>
        <w:tc>
          <w:tcPr>
            <w:tcW w:w="9026" w:type="dxa"/>
            <w:tcBorders>
              <w:top w:val="single" w:sz="2" w:space="0" w:color="F7F5F2"/>
              <w:left w:val="single" w:sz="24" w:space="0" w:color="C99A52"/>
              <w:bottom w:val="single" w:sz="2" w:space="0" w:color="F7F5F2"/>
              <w:right w:val="single" w:sz="2" w:space="0" w:color="F7F5F2"/>
            </w:tcBorders>
            <w:shd w:val="clear" w:color="auto" w:fill="F7F5F2"/>
            <w:tcMar>
              <w:top w:w="120" w:type="dxa"/>
              <w:left w:w="200" w:type="dxa"/>
              <w:bottom w:w="120" w:type="dxa"/>
              <w:right w:w="160" w:type="dxa"/>
            </w:tcMar>
          </w:tcPr>
          <w:p w14:paraId="3283DA79" w14:textId="77777777" w:rsidR="007F73D0" w:rsidRDefault="00000000">
            <w:pPr>
              <w:spacing w:after="60"/>
            </w:pPr>
            <w:r>
              <w:rPr>
                <w:b/>
                <w:bCs/>
                <w:color w:val="05132A"/>
                <w:sz w:val="20"/>
                <w:szCs w:val="20"/>
              </w:rPr>
              <w:t>Recommended DPO sign-off</w:t>
            </w:r>
          </w:p>
          <w:p w14:paraId="3283DA7A" w14:textId="77777777" w:rsidR="007F73D0" w:rsidRDefault="00000000">
            <w:pPr>
              <w:spacing w:after="40"/>
            </w:pPr>
            <w:r>
              <w:rPr>
                <w:sz w:val="20"/>
                <w:szCs w:val="20"/>
              </w:rPr>
              <w:t>Because the trustee anonymisation now relies on field-level (column) security rather than the manual, single-key-holder, physically-separate control the documented process mandates, Revitalise's DPO must sign off that this stronger-but-different control is acceptable before build starts on the new basis. The fallback, if he requires physical separation, is a separate trustee-facing table kept in sync. He should also confirm, before go-live, that automatic rejection at the configurable threshold, with Emily's oversight and override, satisfies their automated-decision position, and that 6-year retention of the health free-text remains their preference over earlier minimisation. This document sets the technical schema; it is not legal advice.</w:t>
            </w:r>
          </w:p>
        </w:tc>
      </w:tr>
    </w:tbl>
    <w:p w14:paraId="3283DA7C" w14:textId="77777777" w:rsidR="007F73D0" w:rsidRDefault="00000000">
      <w:r>
        <w:br w:type="page"/>
      </w:r>
    </w:p>
    <w:p w14:paraId="3283DA7D" w14:textId="77777777" w:rsidR="007F73D0" w:rsidRDefault="00000000">
      <w:pPr>
        <w:pStyle w:val="Heading1"/>
      </w:pPr>
      <w:bookmarkStart w:id="35" w:name="_Toc235006556"/>
      <w:r>
        <w:lastRenderedPageBreak/>
        <w:t>9. Licensing</w:t>
      </w:r>
      <w:bookmarkEnd w:id="35"/>
    </w:p>
    <w:p w14:paraId="3283DA7E" w14:textId="77777777" w:rsidR="007F73D0" w:rsidRDefault="00000000">
      <w:pPr>
        <w:spacing w:after="140" w:line="276" w:lineRule="auto"/>
      </w:pPr>
      <w:r>
        <w:t>The data layer, however, is Dataverse — a premium Power Platform data source — so this solution needs per-user Power Apps entitlements on top of Business Premium. This section sets out what the plan covers, what Dataverse adds, and the recurring bill. Figures are indicative planning estimates verified against Microsoft sources on 14 July 2026; Revitalise qualifies for Microsoft nonprofit pricing and should confirm all amounts against a current quote at procurement (WBS 0.2).</w:t>
      </w:r>
    </w:p>
    <w:p w14:paraId="3283DA7F" w14:textId="77777777" w:rsidR="007F73D0" w:rsidRDefault="00000000">
      <w:pPr>
        <w:pStyle w:val="Heading2"/>
      </w:pPr>
      <w:bookmarkStart w:id="36" w:name="_Toc235006557"/>
      <w:r>
        <w:t>What Business Premium already covers</w:t>
      </w:r>
      <w:bookmarkEnd w:id="36"/>
    </w:p>
    <w:p w14:paraId="3283DA80" w14:textId="77777777" w:rsidR="007F73D0" w:rsidRDefault="00000000">
      <w:pPr>
        <w:spacing w:after="140" w:line="276" w:lineRule="auto"/>
      </w:pPr>
      <w:r>
        <w:t>SharePoint Online, Outlook and Teams, and Power Automate with standard connectors are included, as is Power Apps for standard data sources and basic Purview retention labels; SharePoint Online now holds only the signed-document library. Four things sit outside the plan: Dataverse (a premium data source), premium connectors, AI Builder, and event-based retention. Dataverse is the material one — it moves the solution to a per-user Power Apps premium model, as the register below shows.</w:t>
      </w:r>
    </w:p>
    <w:p w14:paraId="3283DA81" w14:textId="77777777" w:rsidR="007F73D0" w:rsidRDefault="00000000">
      <w:r>
        <w:t>Recurring bill: roughly £750–1,000/year at list pricing, up from the ~£150–180/year of the earlier single-seat model, driven by the two Power Apps Premium seats (maker and Emily) and the trustee pay-as-you-go. At nonprofit pricing it is closer to £370–500/year, because the Power Apps Premium seats fall to nonprofit staff rates or the free-for-up-to-ten-users grant, leaving the trustee pay-as-you-go and the service account's Power Automate Premium as the irreducible lines. All of these are Revitalise's licences; Argelis carries none. Power BI Pro drops out entirely.</w:t>
      </w:r>
    </w:p>
    <w:p w14:paraId="3283DA82" w14:textId="77777777" w:rsidR="007F73D0" w:rsidRDefault="00000000">
      <w:pPr>
        <w:pStyle w:val="Heading2"/>
      </w:pPr>
      <w:bookmarkStart w:id="37" w:name="_Toc235006558"/>
      <w:r>
        <w:t>Licensing register</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900"/>
        <w:gridCol w:w="3126"/>
      </w:tblGrid>
      <w:tr w:rsidR="007F73D0" w14:paraId="3283DA87" w14:textId="77777777">
        <w:tblPrEx>
          <w:tblCellMar>
            <w:top w:w="0" w:type="dxa"/>
            <w:bottom w:w="0" w:type="dxa"/>
          </w:tblCellMar>
        </w:tblPrEx>
        <w:trPr>
          <w:tblHeader/>
        </w:trPr>
        <w:tc>
          <w:tcPr>
            <w:tcW w:w="25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A83" w14:textId="77777777" w:rsidR="007F73D0" w:rsidRDefault="00000000">
            <w:r>
              <w:rPr>
                <w:b/>
                <w:bCs/>
                <w:color w:val="FFFFFF"/>
                <w:sz w:val="19"/>
                <w:szCs w:val="19"/>
              </w:rPr>
              <w:t>Component / need</w:t>
            </w:r>
          </w:p>
        </w:tc>
        <w:tc>
          <w:tcPr>
            <w:tcW w:w="15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A84" w14:textId="77777777" w:rsidR="007F73D0" w:rsidRDefault="00000000">
            <w:r>
              <w:rPr>
                <w:b/>
                <w:bCs/>
                <w:color w:val="FFFFFF"/>
                <w:sz w:val="19"/>
                <w:szCs w:val="19"/>
              </w:rPr>
              <w:t>In Business Premium?</w:t>
            </w:r>
          </w:p>
        </w:tc>
        <w:tc>
          <w:tcPr>
            <w:tcW w:w="19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A85" w14:textId="77777777" w:rsidR="007F73D0" w:rsidRDefault="00000000">
            <w:r>
              <w:rPr>
                <w:b/>
                <w:bCs/>
                <w:color w:val="FFFFFF"/>
                <w:sz w:val="19"/>
                <w:szCs w:val="19"/>
              </w:rPr>
              <w:t>Indicative cost</w:t>
            </w:r>
          </w:p>
        </w:tc>
        <w:tc>
          <w:tcPr>
            <w:tcW w:w="3126"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A86" w14:textId="77777777" w:rsidR="007F73D0" w:rsidRDefault="00000000">
            <w:r>
              <w:rPr>
                <w:b/>
                <w:bCs/>
                <w:color w:val="FFFFFF"/>
                <w:sz w:val="19"/>
                <w:szCs w:val="19"/>
              </w:rPr>
              <w:t>Note</w:t>
            </w:r>
          </w:p>
        </w:tc>
      </w:tr>
      <w:tr w:rsidR="007F73D0" w14:paraId="3283DA8C" w14:textId="77777777">
        <w:tblPrEx>
          <w:tblCellMar>
            <w:top w:w="0" w:type="dxa"/>
            <w:bottom w:w="0" w:type="dxa"/>
          </w:tblCellMar>
        </w:tblPrEx>
        <w:tc>
          <w:tcPr>
            <w:tcW w:w="25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88" w14:textId="77777777" w:rsidR="007F73D0" w:rsidRDefault="00000000">
            <w:r>
              <w:rPr>
                <w:sz w:val="18"/>
                <w:szCs w:val="18"/>
              </w:rPr>
              <w:t>Power Apps Premium — maker / service account</w:t>
            </w:r>
          </w:p>
        </w:tc>
        <w:tc>
          <w:tcPr>
            <w:tcW w:w="15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89" w14:textId="77777777" w:rsidR="007F73D0" w:rsidRDefault="00000000">
            <w:r>
              <w:rPr>
                <w:sz w:val="18"/>
                <w:szCs w:val="18"/>
              </w:rPr>
              <w:t>No</w:t>
            </w:r>
          </w:p>
        </w:tc>
        <w:tc>
          <w:tcPr>
            <w:tcW w:w="1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8A" w14:textId="77777777" w:rsidR="007F73D0" w:rsidRDefault="00000000">
            <w:r>
              <w:rPr>
                <w:sz w:val="18"/>
                <w:szCs w:val="18"/>
              </w:rPr>
              <w:t>~$20/user/mo list (verify)</w:t>
            </w:r>
          </w:p>
        </w:tc>
        <w:tc>
          <w:tcPr>
            <w:tcW w:w="31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8B" w14:textId="77777777" w:rsidR="007F73D0" w:rsidRDefault="00000000">
            <w:r>
              <w:rPr>
                <w:sz w:val="18"/>
                <w:szCs w:val="18"/>
              </w:rPr>
              <w:t>Creates &amp; manages the Dataverse tables and authors the app. Bundles 500 AI Builder credits.</w:t>
            </w:r>
          </w:p>
        </w:tc>
      </w:tr>
      <w:tr w:rsidR="007F73D0" w14:paraId="3283DA91" w14:textId="77777777">
        <w:tblPrEx>
          <w:tblCellMar>
            <w:top w:w="0" w:type="dxa"/>
            <w:bottom w:w="0" w:type="dxa"/>
          </w:tblCellMar>
        </w:tblPrEx>
        <w:tc>
          <w:tcPr>
            <w:tcW w:w="25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8D" w14:textId="77777777" w:rsidR="007F73D0" w:rsidRDefault="00000000">
            <w:r>
              <w:rPr>
                <w:b/>
                <w:bCs/>
                <w:sz w:val="18"/>
                <w:szCs w:val="18"/>
              </w:rPr>
              <w:t>Power Apps Premium — Emily (processor)</w:t>
            </w:r>
          </w:p>
        </w:tc>
        <w:tc>
          <w:tcPr>
            <w:tcW w:w="15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8E" w14:textId="77777777" w:rsidR="007F73D0" w:rsidRDefault="00000000">
            <w:r>
              <w:rPr>
                <w:sz w:val="18"/>
                <w:szCs w:val="18"/>
              </w:rPr>
              <w:t>No</w:t>
            </w:r>
          </w:p>
        </w:tc>
        <w:tc>
          <w:tcPr>
            <w:tcW w:w="1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8F" w14:textId="77777777" w:rsidR="007F73D0" w:rsidRDefault="00000000">
            <w:r>
              <w:rPr>
                <w:sz w:val="18"/>
                <w:szCs w:val="18"/>
              </w:rPr>
              <w:t>~$240/yr list; ~£0 at nonprofit</w:t>
            </w:r>
          </w:p>
        </w:tc>
        <w:tc>
          <w:tcPr>
            <w:tcW w:w="31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90" w14:textId="77777777" w:rsidR="007F73D0" w:rsidRDefault="00000000">
            <w:r>
              <w:rPr>
                <w:sz w:val="18"/>
                <w:szCs w:val="18"/>
              </w:rPr>
              <w:t>One per-user seat to run the app over Dataverse. A second seat for Jan if he processes (confirm).</w:t>
            </w:r>
          </w:p>
        </w:tc>
      </w:tr>
      <w:tr w:rsidR="007F73D0" w14:paraId="3283DA96" w14:textId="77777777">
        <w:tblPrEx>
          <w:tblCellMar>
            <w:top w:w="0" w:type="dxa"/>
            <w:bottom w:w="0" w:type="dxa"/>
          </w:tblCellMar>
        </w:tblPrEx>
        <w:tc>
          <w:tcPr>
            <w:tcW w:w="25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92" w14:textId="77777777" w:rsidR="007F73D0" w:rsidRDefault="00000000">
            <w:r>
              <w:rPr>
                <w:sz w:val="18"/>
                <w:szCs w:val="18"/>
              </w:rPr>
              <w:t>Power Apps pay-as-you-go — trustees</w:t>
            </w:r>
          </w:p>
        </w:tc>
        <w:tc>
          <w:tcPr>
            <w:tcW w:w="15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93" w14:textId="77777777" w:rsidR="007F73D0" w:rsidRDefault="00000000">
            <w:r>
              <w:rPr>
                <w:sz w:val="18"/>
                <w:szCs w:val="18"/>
              </w:rPr>
              <w:t>No</w:t>
            </w:r>
          </w:p>
        </w:tc>
        <w:tc>
          <w:tcPr>
            <w:tcW w:w="1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94" w14:textId="77777777" w:rsidR="007F73D0" w:rsidRDefault="00000000">
            <w:r>
              <w:rPr>
                <w:sz w:val="18"/>
                <w:szCs w:val="18"/>
              </w:rPr>
              <w:t>~$10/active user/app/mo; ~$240/yr for two</w:t>
            </w:r>
          </w:p>
        </w:tc>
        <w:tc>
          <w:tcPr>
            <w:tcW w:w="31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95" w14:textId="77777777" w:rsidR="007F73D0" w:rsidRDefault="00000000">
            <w:r>
              <w:rPr>
                <w:sz w:val="18"/>
                <w:szCs w:val="18"/>
              </w:rPr>
              <w:t>Bills only the trustees who log in each round. Azure-metered; likely outside the nonprofit staff grant.</w:t>
            </w:r>
          </w:p>
        </w:tc>
      </w:tr>
      <w:tr w:rsidR="007F73D0" w14:paraId="3283DA9B" w14:textId="77777777">
        <w:tblPrEx>
          <w:tblCellMar>
            <w:top w:w="0" w:type="dxa"/>
            <w:bottom w:w="0" w:type="dxa"/>
          </w:tblCellMar>
        </w:tblPrEx>
        <w:tc>
          <w:tcPr>
            <w:tcW w:w="25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97" w14:textId="77777777" w:rsidR="007F73D0" w:rsidRDefault="00000000">
            <w:r>
              <w:rPr>
                <w:sz w:val="18"/>
                <w:szCs w:val="18"/>
              </w:rPr>
              <w:t>Power Automate Premium — service account</w:t>
            </w:r>
          </w:p>
        </w:tc>
        <w:tc>
          <w:tcPr>
            <w:tcW w:w="15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98" w14:textId="77777777" w:rsidR="007F73D0" w:rsidRDefault="00000000">
            <w:r>
              <w:rPr>
                <w:sz w:val="18"/>
                <w:szCs w:val="18"/>
              </w:rPr>
              <w:t>No</w:t>
            </w:r>
          </w:p>
        </w:tc>
        <w:tc>
          <w:tcPr>
            <w:tcW w:w="1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99" w14:textId="77777777" w:rsidR="007F73D0" w:rsidRDefault="00000000">
            <w:r>
              <w:rPr>
                <w:sz w:val="18"/>
                <w:szCs w:val="18"/>
              </w:rPr>
              <w:t>≈ £150–180 / yr (verify)</w:t>
            </w:r>
          </w:p>
        </w:tc>
        <w:tc>
          <w:tcPr>
            <w:tcW w:w="31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9A" w14:textId="77777777" w:rsidR="007F73D0" w:rsidRDefault="00000000">
            <w:r>
              <w:rPr>
                <w:sz w:val="18"/>
                <w:szCs w:val="18"/>
              </w:rPr>
              <w:t>Standalone scheduled &amp; webhook flows (HTTP intake, DocuSign, QBO, the retention &amp; erasure helper) outside the app context. Does not substitute for the Power Apps seat.</w:t>
            </w:r>
          </w:p>
        </w:tc>
      </w:tr>
      <w:tr w:rsidR="007F73D0" w14:paraId="3283DAA0" w14:textId="77777777">
        <w:tblPrEx>
          <w:tblCellMar>
            <w:top w:w="0" w:type="dxa"/>
            <w:bottom w:w="0" w:type="dxa"/>
          </w:tblCellMar>
        </w:tblPrEx>
        <w:tc>
          <w:tcPr>
            <w:tcW w:w="25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9C" w14:textId="77777777" w:rsidR="007F73D0" w:rsidRDefault="00000000">
            <w:r>
              <w:rPr>
                <w:b/>
                <w:bCs/>
                <w:sz w:val="18"/>
                <w:szCs w:val="18"/>
              </w:rPr>
              <w:t>Power Automate — standard connectors</w:t>
            </w:r>
          </w:p>
        </w:tc>
        <w:tc>
          <w:tcPr>
            <w:tcW w:w="15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9D" w14:textId="77777777" w:rsidR="007F73D0" w:rsidRDefault="00000000">
            <w:r>
              <w:rPr>
                <w:sz w:val="18"/>
                <w:szCs w:val="18"/>
              </w:rPr>
              <w:t>Yes</w:t>
            </w:r>
          </w:p>
        </w:tc>
        <w:tc>
          <w:tcPr>
            <w:tcW w:w="19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9E" w14:textId="77777777" w:rsidR="007F73D0" w:rsidRDefault="00000000">
            <w:r>
              <w:rPr>
                <w:sz w:val="18"/>
                <w:szCs w:val="18"/>
              </w:rPr>
              <w:t>Included</w:t>
            </w:r>
          </w:p>
        </w:tc>
        <w:tc>
          <w:tcPr>
            <w:tcW w:w="31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9F" w14:textId="77777777" w:rsidR="007F73D0" w:rsidRDefault="00000000">
            <w:r>
              <w:rPr>
                <w:sz w:val="18"/>
                <w:szCs w:val="18"/>
              </w:rPr>
              <w:t>SharePoint, Outlook, Teams, Approvals.</w:t>
            </w:r>
          </w:p>
        </w:tc>
      </w:tr>
      <w:tr w:rsidR="007F73D0" w14:paraId="3283DAA5" w14:textId="77777777">
        <w:tblPrEx>
          <w:tblCellMar>
            <w:top w:w="0" w:type="dxa"/>
            <w:bottom w:w="0" w:type="dxa"/>
          </w:tblCellMar>
        </w:tblPrEx>
        <w:tc>
          <w:tcPr>
            <w:tcW w:w="25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A1" w14:textId="77777777" w:rsidR="007F73D0" w:rsidRDefault="00000000">
            <w:r>
              <w:rPr>
                <w:sz w:val="18"/>
                <w:szCs w:val="18"/>
              </w:rPr>
              <w:t>AI Builder — free-text scrubbing (#5)</w:t>
            </w:r>
          </w:p>
        </w:tc>
        <w:tc>
          <w:tcPr>
            <w:tcW w:w="15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A2" w14:textId="77777777" w:rsidR="007F73D0" w:rsidRDefault="00000000">
            <w:r>
              <w:rPr>
                <w:sz w:val="18"/>
                <w:szCs w:val="18"/>
              </w:rPr>
              <w:t>No (standalone)</w:t>
            </w:r>
          </w:p>
        </w:tc>
        <w:tc>
          <w:tcPr>
            <w:tcW w:w="1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A3" w14:textId="77777777" w:rsidR="007F73D0" w:rsidRDefault="00000000">
            <w:r>
              <w:rPr>
                <w:sz w:val="18"/>
                <w:szCs w:val="18"/>
              </w:rPr>
              <w:t>Likely covered by bundled credits (verify)</w:t>
            </w:r>
          </w:p>
        </w:tc>
        <w:tc>
          <w:tcPr>
            <w:tcW w:w="31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A4" w14:textId="77777777" w:rsidR="007F73D0" w:rsidRDefault="00000000">
            <w:r>
              <w:rPr>
                <w:sz w:val="18"/>
                <w:szCs w:val="18"/>
              </w:rPr>
              <w:t>500 credits per Power Apps Premium seat may absorb it and close the 1 Nov 2026 credit cliff.</w:t>
            </w:r>
          </w:p>
        </w:tc>
      </w:tr>
      <w:tr w:rsidR="007F73D0" w14:paraId="3283DAAA" w14:textId="77777777">
        <w:tblPrEx>
          <w:tblCellMar>
            <w:top w:w="0" w:type="dxa"/>
            <w:bottom w:w="0" w:type="dxa"/>
          </w:tblCellMar>
        </w:tblPrEx>
        <w:tc>
          <w:tcPr>
            <w:tcW w:w="25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A6" w14:textId="77777777" w:rsidR="007F73D0" w:rsidRDefault="00000000">
            <w:r>
              <w:rPr>
                <w:sz w:val="18"/>
                <w:szCs w:val="18"/>
              </w:rPr>
              <w:t>Power BI Pro</w:t>
            </w:r>
          </w:p>
        </w:tc>
        <w:tc>
          <w:tcPr>
            <w:tcW w:w="15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A7" w14:textId="77777777" w:rsidR="007F73D0" w:rsidRDefault="00000000">
            <w:r>
              <w:rPr>
                <w:sz w:val="18"/>
                <w:szCs w:val="18"/>
              </w:rPr>
              <w:t>Not required</w:t>
            </w:r>
          </w:p>
        </w:tc>
        <w:tc>
          <w:tcPr>
            <w:tcW w:w="1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A8" w14:textId="77777777" w:rsidR="007F73D0" w:rsidRDefault="00000000">
            <w:r>
              <w:rPr>
                <w:sz w:val="18"/>
                <w:szCs w:val="18"/>
              </w:rPr>
              <w:t>—</w:t>
            </w:r>
          </w:p>
        </w:tc>
        <w:tc>
          <w:tcPr>
            <w:tcW w:w="31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A9" w14:textId="77777777" w:rsidR="007F73D0" w:rsidRDefault="00000000">
            <w:r>
              <w:rPr>
                <w:sz w:val="18"/>
                <w:szCs w:val="18"/>
              </w:rPr>
              <w:t>Trustee portal is a Dataverse app; Power BI Pro no longer needed.</w:t>
            </w:r>
          </w:p>
        </w:tc>
      </w:tr>
      <w:tr w:rsidR="007F73D0" w14:paraId="3283DAAF" w14:textId="77777777">
        <w:tblPrEx>
          <w:tblCellMar>
            <w:top w:w="0" w:type="dxa"/>
            <w:bottom w:w="0" w:type="dxa"/>
          </w:tblCellMar>
        </w:tblPrEx>
        <w:tc>
          <w:tcPr>
            <w:tcW w:w="25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AB" w14:textId="77777777" w:rsidR="007F73D0" w:rsidRDefault="00000000">
            <w:r>
              <w:rPr>
                <w:sz w:val="18"/>
                <w:szCs w:val="18"/>
              </w:rPr>
              <w:t>Basic Purview retention labels</w:t>
            </w:r>
          </w:p>
        </w:tc>
        <w:tc>
          <w:tcPr>
            <w:tcW w:w="15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AC" w14:textId="77777777" w:rsidR="007F73D0" w:rsidRDefault="00000000">
            <w:r>
              <w:rPr>
                <w:sz w:val="18"/>
                <w:szCs w:val="18"/>
              </w:rPr>
              <w:t>Yes</w:t>
            </w:r>
          </w:p>
        </w:tc>
        <w:tc>
          <w:tcPr>
            <w:tcW w:w="1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AD" w14:textId="77777777" w:rsidR="007F73D0" w:rsidRDefault="00000000">
            <w:r>
              <w:rPr>
                <w:sz w:val="18"/>
                <w:szCs w:val="18"/>
              </w:rPr>
              <w:t>Included</w:t>
            </w:r>
          </w:p>
        </w:tc>
        <w:tc>
          <w:tcPr>
            <w:tcW w:w="31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AE" w14:textId="77777777" w:rsidR="007F73D0" w:rsidRDefault="00000000">
            <w:r>
              <w:rPr>
                <w:sz w:val="18"/>
                <w:szCs w:val="18"/>
              </w:rPr>
              <w:t>Time-based safety net behind the sweep flow.</w:t>
            </w:r>
          </w:p>
        </w:tc>
      </w:tr>
      <w:tr w:rsidR="007F73D0" w14:paraId="3283DAB4" w14:textId="77777777">
        <w:tblPrEx>
          <w:tblCellMar>
            <w:top w:w="0" w:type="dxa"/>
            <w:bottom w:w="0" w:type="dxa"/>
          </w:tblCellMar>
        </w:tblPrEx>
        <w:tc>
          <w:tcPr>
            <w:tcW w:w="25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B0" w14:textId="77777777" w:rsidR="007F73D0" w:rsidRDefault="00000000">
            <w:r>
              <w:rPr>
                <w:sz w:val="18"/>
                <w:szCs w:val="18"/>
              </w:rPr>
              <w:t>Event-based Purview retention</w:t>
            </w:r>
          </w:p>
        </w:tc>
        <w:tc>
          <w:tcPr>
            <w:tcW w:w="15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B1" w14:textId="77777777" w:rsidR="007F73D0" w:rsidRDefault="00000000">
            <w:r>
              <w:rPr>
                <w:sz w:val="18"/>
                <w:szCs w:val="18"/>
              </w:rPr>
              <w:t>No (E5 / add-on)</w:t>
            </w:r>
          </w:p>
        </w:tc>
        <w:tc>
          <w:tcPr>
            <w:tcW w:w="1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B2" w14:textId="77777777" w:rsidR="007F73D0" w:rsidRDefault="00000000">
            <w:r>
              <w:rPr>
                <w:sz w:val="18"/>
                <w:szCs w:val="18"/>
              </w:rPr>
              <w:t>Avoided by design</w:t>
            </w:r>
          </w:p>
        </w:tc>
        <w:tc>
          <w:tcPr>
            <w:tcW w:w="31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B3" w14:textId="77777777" w:rsidR="007F73D0" w:rsidRDefault="00000000">
            <w:r>
              <w:rPr>
                <w:sz w:val="18"/>
                <w:szCs w:val="18"/>
              </w:rPr>
              <w:t>The sweep flow does this job instead.</w:t>
            </w:r>
          </w:p>
        </w:tc>
      </w:tr>
      <w:tr w:rsidR="007F73D0" w14:paraId="3283DAB9" w14:textId="77777777">
        <w:tblPrEx>
          <w:tblCellMar>
            <w:top w:w="0" w:type="dxa"/>
            <w:bottom w:w="0" w:type="dxa"/>
          </w:tblCellMar>
        </w:tblPrEx>
        <w:tc>
          <w:tcPr>
            <w:tcW w:w="25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B5" w14:textId="77777777" w:rsidR="007F73D0" w:rsidRDefault="00000000">
            <w:r>
              <w:rPr>
                <w:sz w:val="18"/>
                <w:szCs w:val="18"/>
              </w:rPr>
              <w:lastRenderedPageBreak/>
              <w:t>DocuSign — acceptance signing (#3)</w:t>
            </w:r>
          </w:p>
        </w:tc>
        <w:tc>
          <w:tcPr>
            <w:tcW w:w="15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B6" w14:textId="77777777" w:rsidR="007F73D0" w:rsidRDefault="00000000">
            <w:r>
              <w:rPr>
                <w:sz w:val="18"/>
                <w:szCs w:val="18"/>
              </w:rPr>
              <w:t>No (third party)</w:t>
            </w:r>
          </w:p>
        </w:tc>
        <w:tc>
          <w:tcPr>
            <w:tcW w:w="19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B7" w14:textId="77777777" w:rsidR="007F73D0" w:rsidRDefault="00000000">
            <w:r>
              <w:rPr>
                <w:sz w:val="18"/>
                <w:szCs w:val="18"/>
              </w:rPr>
              <w:t>Per DocuSign plan</w:t>
            </w:r>
          </w:p>
        </w:tc>
        <w:tc>
          <w:tcPr>
            <w:tcW w:w="31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B8" w14:textId="77777777" w:rsidR="007F73D0" w:rsidRDefault="00000000">
            <w:r>
              <w:rPr>
                <w:sz w:val="18"/>
                <w:szCs w:val="18"/>
              </w:rPr>
              <w:t>Procured separately; in place before the acceptance workflow goes live.</w:t>
            </w:r>
          </w:p>
        </w:tc>
      </w:tr>
    </w:tbl>
    <w:p w14:paraId="3283DABA" w14:textId="77777777" w:rsidR="007F73D0" w:rsidRDefault="00000000">
      <w:pPr>
        <w:pStyle w:val="Heading2"/>
      </w:pPr>
      <w:bookmarkStart w:id="38" w:name="_Toc235006559"/>
      <w:r>
        <w:t>Retention enforcement: the licensing choice</w:t>
      </w:r>
      <w:bookmarkEnd w:id="38"/>
    </w:p>
    <w:p w14:paraId="3283DABB" w14:textId="77777777" w:rsidR="007F73D0" w:rsidRDefault="00000000">
      <w:pPr>
        <w:spacing w:after="140" w:line="276" w:lineRule="auto"/>
      </w:pPr>
      <w:r>
        <w:t>Enforcing the retention schedule (Section 8) needs status-aware, scheduled deletion. Dataverse provides this natively, which the SharePoint-based design could not. Two routes were considered:</w:t>
      </w:r>
    </w:p>
    <w:p w14:paraId="3283DABC" w14:textId="77777777" w:rsidR="007F73D0" w:rsidRDefault="00000000">
      <w:pPr>
        <w:pStyle w:val="ListParagraph"/>
        <w:numPr>
          <w:ilvl w:val="0"/>
          <w:numId w:val="2"/>
        </w:numPr>
        <w:spacing w:after="70" w:line="268" w:lineRule="auto"/>
      </w:pPr>
      <w:r>
        <w:rPr>
          <w:b/>
          <w:bCs/>
        </w:rPr>
        <w:t>Native Dataverse bulk delete + cascade (chosen). Recurring bulk delete jobs and cascade-delete relationships enforce the schedule natively, with no custom sweep flow and no licence beyond the Dataverse entitlements already required. A light helper flow covers only what the native job cannot — cross-system cleanup (DocuSign envelope purge, QuickBooks finance carve-out) and on-demand erasure — reusing the service account's Power Automate Premium, so it adds no recurring cost.</w:t>
      </w:r>
    </w:p>
    <w:p w14:paraId="3283DABD" w14:textId="77777777" w:rsidR="007F73D0" w:rsidRDefault="00000000">
      <w:pPr>
        <w:pStyle w:val="ListParagraph"/>
        <w:numPr>
          <w:ilvl w:val="0"/>
          <w:numId w:val="2"/>
        </w:numPr>
        <w:spacing w:after="70" w:line="268" w:lineRule="auto"/>
      </w:pPr>
      <w:r>
        <w:rPr>
          <w:b/>
          <w:bCs/>
        </w:rPr>
        <w:t xml:space="preserve">Purview Suite for Business Premium add-on (not chosen). </w:t>
      </w:r>
      <w:r>
        <w:t>Would enable native event-based retention and broader compliance tooling, but is priced per user, per month (≈ $10, verify) across every licensed user — a recurring cost that scales with headcount to serve a single automation's need.</w:t>
      </w:r>
    </w:p>
    <w:p w14:paraId="3283DABE" w14:textId="77777777" w:rsidR="007F73D0" w:rsidRDefault="00000000">
      <w:pPr>
        <w:spacing w:after="140" w:line="276" w:lineRule="auto"/>
      </w:pPr>
      <w:r>
        <w:t>Decision: retention and erasure are enforced by native Dataverse bulk delete and cascade, with a light helper flow only for cross-system cleanup and on-demand erasure. The Purview Suite add-on remains available later if Revitalise wants records management across the wider tenant, but it is not required for this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F73D0" w14:paraId="3283DAC1" w14:textId="77777777">
        <w:tblPrEx>
          <w:tblCellMar>
            <w:top w:w="0" w:type="dxa"/>
            <w:bottom w:w="0" w:type="dxa"/>
          </w:tblCellMar>
        </w:tblPrEx>
        <w:tc>
          <w:tcPr>
            <w:tcW w:w="9026" w:type="dxa"/>
            <w:tcBorders>
              <w:top w:val="single" w:sz="2" w:space="0" w:color="F7F5F2"/>
              <w:left w:val="single" w:sz="24" w:space="0" w:color="C99A52"/>
              <w:bottom w:val="single" w:sz="2" w:space="0" w:color="F7F5F2"/>
              <w:right w:val="single" w:sz="2" w:space="0" w:color="F7F5F2"/>
            </w:tcBorders>
            <w:shd w:val="clear" w:color="auto" w:fill="F7F5F2"/>
            <w:tcMar>
              <w:top w:w="120" w:type="dxa"/>
              <w:left w:w="200" w:type="dxa"/>
              <w:bottom w:w="120" w:type="dxa"/>
              <w:right w:w="160" w:type="dxa"/>
            </w:tcMar>
          </w:tcPr>
          <w:p w14:paraId="3283DABF" w14:textId="77777777" w:rsidR="007F73D0" w:rsidRDefault="00000000">
            <w:pPr>
              <w:spacing w:after="60"/>
            </w:pPr>
            <w:r>
              <w:rPr>
                <w:b/>
                <w:bCs/>
                <w:color w:val="05132A"/>
                <w:sz w:val="20"/>
                <w:szCs w:val="20"/>
              </w:rPr>
              <w:t>Indicative figures — confirm before purchase</w:t>
            </w:r>
          </w:p>
          <w:p w14:paraId="3283DAC0" w14:textId="77777777" w:rsidR="007F73D0" w:rsidRDefault="00000000">
            <w:pPr>
              <w:spacing w:after="40"/>
            </w:pPr>
            <w:r>
              <w:rPr>
                <w:sz w:val="20"/>
                <w:szCs w:val="20"/>
              </w:rPr>
              <w:t>The amounts above are planning estimates. Licence prices vary by agreement and change over time, and Revitalise qualifies for Microsoft nonprofit pricing. Treat every figure marked "verify" as unconfirmed and check it against a current Microsoft quote at procurement (WBS 0.2). The AI Builder / Copilot Credits route and the 1 November 2026 seeded-credit deadline should be confirmed before automation #5 goes live.</w:t>
            </w:r>
          </w:p>
        </w:tc>
      </w:tr>
    </w:tbl>
    <w:p w14:paraId="3283DAC2" w14:textId="77777777" w:rsidR="007F73D0" w:rsidRDefault="00000000">
      <w:r>
        <w:br w:type="page"/>
      </w:r>
    </w:p>
    <w:p w14:paraId="3283DAC3" w14:textId="77777777" w:rsidR="007F73D0" w:rsidRDefault="00000000">
      <w:pPr>
        <w:pStyle w:val="Heading1"/>
      </w:pPr>
      <w:bookmarkStart w:id="39" w:name="_Toc235006560"/>
      <w:r>
        <w:lastRenderedPageBreak/>
        <w:t>10. Assumptions and dependencies</w:t>
      </w:r>
      <w:bookmarkEnd w:id="39"/>
    </w:p>
    <w:p w14:paraId="3283DAC4" w14:textId="77777777" w:rsidR="007F73D0" w:rsidRDefault="00000000">
      <w:pPr>
        <w:pStyle w:val="ListParagraph"/>
        <w:numPr>
          <w:ilvl w:val="0"/>
          <w:numId w:val="2"/>
        </w:numPr>
        <w:spacing w:after="70" w:line="268" w:lineRule="auto"/>
      </w:pPr>
      <w:r>
        <w:t>Revitalise runs Microsoft 365 Business Premium (standard connectors and SharePoint Online included). Premium capability is added per Section 9, not assumed in the base plan.</w:t>
      </w:r>
    </w:p>
    <w:p w14:paraId="3283DAC5" w14:textId="77777777" w:rsidR="007F73D0" w:rsidRDefault="00000000">
      <w:pPr>
        <w:pStyle w:val="ListParagraph"/>
        <w:numPr>
          <w:ilvl w:val="0"/>
          <w:numId w:val="2"/>
        </w:numPr>
        <w:spacing w:after="70" w:line="268" w:lineRule="auto"/>
      </w:pPr>
      <w:r>
        <w:t>Dataverse is the chosen data platform. Every person who uses an app over the custom Dataverse tables needs a per-user Power Apps premium entitlement: the maker/service account (Power Apps Premium plus Power Automate Premium for the standalone flows), Emily (one seat), and trustees (pay-as-you-go). Power BI Pro is not required, per Section 9.</w:t>
      </w:r>
    </w:p>
    <w:p w14:paraId="3283DAC6" w14:textId="77777777" w:rsidR="007F73D0" w:rsidRDefault="00000000">
      <w:pPr>
        <w:pStyle w:val="ListParagraph"/>
        <w:numPr>
          <w:ilvl w:val="0"/>
          <w:numId w:val="2"/>
        </w:numPr>
        <w:spacing w:after="70" w:line="268" w:lineRule="auto"/>
      </w:pPr>
      <w:r>
        <w:t>M365 administrator access is granted to create environments, the service account, DLP, and Conditional Access exceptions.</w:t>
      </w:r>
    </w:p>
    <w:p w14:paraId="3283DAC7" w14:textId="77777777" w:rsidR="007F73D0" w:rsidRDefault="00000000">
      <w:pPr>
        <w:pStyle w:val="ListParagraph"/>
        <w:numPr>
          <w:ilvl w:val="0"/>
          <w:numId w:val="2"/>
        </w:numPr>
        <w:spacing w:after="70" w:line="268" w:lineRule="auto"/>
      </w:pPr>
      <w:r>
        <w:t>The WordPress form plugin supports a webhook, REST API, or structured email (else the email/scheduled fallback applies).</w:t>
      </w:r>
    </w:p>
    <w:p w14:paraId="3283DAC8" w14:textId="77777777" w:rsidR="007F73D0" w:rsidRDefault="00000000">
      <w:pPr>
        <w:pStyle w:val="ListParagraph"/>
        <w:numPr>
          <w:ilvl w:val="0"/>
          <w:numId w:val="2"/>
        </w:numPr>
        <w:spacing w:after="70" w:line="268" w:lineRule="auto"/>
      </w:pPr>
      <w:r>
        <w:t>DocuSign licensing is procured before the acceptance workflow goes live.</w:t>
      </w:r>
    </w:p>
    <w:p w14:paraId="3283DAC9" w14:textId="77777777" w:rsidR="007F73D0" w:rsidRDefault="00000000">
      <w:pPr>
        <w:pStyle w:val="ListParagraph"/>
        <w:numPr>
          <w:ilvl w:val="0"/>
          <w:numId w:val="2"/>
        </w:numPr>
        <w:spacing w:after="70" w:line="268" w:lineRule="auto"/>
      </w:pPr>
      <w:r>
        <w:t>Free-text narrative scrubbing (#5) may be covered by the 500 AI Builder credits bundled with each Power Apps Premium seat; the ongoing route is confirmed before #5 goes live, which could close the 1 November 2026 seeded-credit cliff.</w:t>
      </w:r>
    </w:p>
    <w:p w14:paraId="3283DACA" w14:textId="77777777" w:rsidR="007F73D0" w:rsidRDefault="00000000">
      <w:pPr>
        <w:pStyle w:val="ListParagraph"/>
        <w:numPr>
          <w:ilvl w:val="0"/>
          <w:numId w:val="2"/>
        </w:numPr>
        <w:spacing w:after="70" w:line="268" w:lineRule="auto"/>
      </w:pPr>
      <w:r>
        <w:t>Business Premium provides basic Purview retention labels; status-aware retention and erasure are enforced by the sweep flow (Section 8). Native event-based retention (E5 / Purview Suite) is not licensed.</w:t>
      </w:r>
    </w:p>
    <w:p w14:paraId="3283DACB" w14:textId="77777777" w:rsidR="007F73D0" w:rsidRDefault="00000000">
      <w:pPr>
        <w:pStyle w:val="ListParagraph"/>
        <w:numPr>
          <w:ilvl w:val="0"/>
          <w:numId w:val="2"/>
        </w:numPr>
        <w:spacing w:after="70" w:line="268" w:lineRule="auto"/>
      </w:pPr>
      <w:r>
        <w:t>DocuSign and QuickBooks retention settings can be configured to match the published schedule; UK data residency is available for all connectors.</w:t>
      </w:r>
    </w:p>
    <w:p w14:paraId="3283DACC" w14:textId="77777777" w:rsidR="007F73D0" w:rsidRDefault="00000000">
      <w:pPr>
        <w:pStyle w:val="Heading1"/>
      </w:pPr>
      <w:bookmarkStart w:id="40" w:name="_Toc235006561"/>
      <w:r>
        <w:t>11. Next steps</w:t>
      </w:r>
      <w:bookmarkEnd w:id="40"/>
    </w:p>
    <w:p w14:paraId="3283DACD" w14:textId="77777777" w:rsidR="007F73D0" w:rsidRDefault="00000000">
      <w:pPr>
        <w:spacing w:after="140" w:line="276" w:lineRule="auto"/>
      </w:pPr>
      <w:r>
        <w:t>This document unblocks the rest of Phase 0. In WBS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726"/>
        <w:gridCol w:w="2500"/>
      </w:tblGrid>
      <w:tr w:rsidR="007F73D0" w14:paraId="3283DAD1" w14:textId="77777777">
        <w:tblPrEx>
          <w:tblCellMar>
            <w:top w:w="0" w:type="dxa"/>
            <w:bottom w:w="0" w:type="dxa"/>
          </w:tblCellMar>
        </w:tblPrEx>
        <w:trPr>
          <w:tblHeader/>
        </w:trPr>
        <w:tc>
          <w:tcPr>
            <w:tcW w:w="8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ACE" w14:textId="77777777" w:rsidR="007F73D0" w:rsidRDefault="00000000">
            <w:r>
              <w:rPr>
                <w:b/>
                <w:bCs/>
                <w:color w:val="FFFFFF"/>
                <w:sz w:val="19"/>
                <w:szCs w:val="19"/>
              </w:rPr>
              <w:t>WBS</w:t>
            </w:r>
          </w:p>
        </w:tc>
        <w:tc>
          <w:tcPr>
            <w:tcW w:w="5726"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ACF" w14:textId="77777777" w:rsidR="007F73D0" w:rsidRDefault="00000000">
            <w:r>
              <w:rPr>
                <w:b/>
                <w:bCs/>
                <w:color w:val="FFFFFF"/>
                <w:sz w:val="19"/>
                <w:szCs w:val="19"/>
              </w:rPr>
              <w:t>Task</w:t>
            </w:r>
          </w:p>
        </w:tc>
        <w:tc>
          <w:tcPr>
            <w:tcW w:w="2500" w:type="dxa"/>
            <w:tcBorders>
              <w:top w:val="single" w:sz="1" w:space="0" w:color="D9DDE3"/>
              <w:left w:val="single" w:sz="1" w:space="0" w:color="D9DDE3"/>
              <w:bottom w:val="single" w:sz="1" w:space="0" w:color="D9DDE3"/>
              <w:right w:val="single" w:sz="1" w:space="0" w:color="D9DDE3"/>
            </w:tcBorders>
            <w:shd w:val="clear" w:color="auto" w:fill="05132A"/>
            <w:tcMar>
              <w:top w:w="90" w:type="dxa"/>
              <w:left w:w="130" w:type="dxa"/>
              <w:bottom w:w="90" w:type="dxa"/>
              <w:right w:w="130" w:type="dxa"/>
            </w:tcMar>
            <w:vAlign w:val="center"/>
          </w:tcPr>
          <w:p w14:paraId="3283DAD0" w14:textId="77777777" w:rsidR="007F73D0" w:rsidRDefault="00000000">
            <w:r>
              <w:rPr>
                <w:b/>
                <w:bCs/>
                <w:color w:val="FFFFFF"/>
                <w:sz w:val="19"/>
                <w:szCs w:val="19"/>
              </w:rPr>
              <w:t>Depends on this document</w:t>
            </w:r>
          </w:p>
        </w:tc>
      </w:tr>
      <w:tr w:rsidR="007F73D0" w14:paraId="3283DAD5" w14:textId="77777777">
        <w:tblPrEx>
          <w:tblCellMar>
            <w:top w:w="0" w:type="dxa"/>
            <w:bottom w:w="0" w:type="dxa"/>
          </w:tblCellMar>
        </w:tblPrEx>
        <w:tc>
          <w:tcPr>
            <w:tcW w:w="8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D2" w14:textId="77777777" w:rsidR="007F73D0" w:rsidRDefault="00000000">
            <w:r>
              <w:rPr>
                <w:sz w:val="18"/>
                <w:szCs w:val="18"/>
              </w:rPr>
              <w:t>0.2</w:t>
            </w:r>
          </w:p>
        </w:tc>
        <w:tc>
          <w:tcPr>
            <w:tcW w:w="57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D3" w14:textId="77777777" w:rsidR="007F73D0" w:rsidRDefault="00000000">
            <w:r>
              <w:rPr>
                <w:sz w:val="18"/>
                <w:szCs w:val="18"/>
              </w:rPr>
              <w:t>Power Platform environment setup (DEV/PROD, DLP, security groups, managed solution)</w:t>
            </w:r>
          </w:p>
        </w:tc>
        <w:tc>
          <w:tcPr>
            <w:tcW w:w="25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D4" w14:textId="77777777" w:rsidR="007F73D0" w:rsidRDefault="00000000">
            <w:r>
              <w:rPr>
                <w:sz w:val="18"/>
                <w:szCs w:val="18"/>
              </w:rPr>
              <w:t>Environment strategy, naming, ALM</w:t>
            </w:r>
          </w:p>
        </w:tc>
      </w:tr>
      <w:tr w:rsidR="007F73D0" w14:paraId="3283DAD9" w14:textId="77777777">
        <w:tblPrEx>
          <w:tblCellMar>
            <w:top w:w="0" w:type="dxa"/>
            <w:bottom w:w="0" w:type="dxa"/>
          </w:tblCellMar>
        </w:tblPrEx>
        <w:tc>
          <w:tcPr>
            <w:tcW w:w="8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D6" w14:textId="77777777" w:rsidR="007F73D0" w:rsidRDefault="00000000">
            <w:r>
              <w:rPr>
                <w:sz w:val="18"/>
                <w:szCs w:val="18"/>
              </w:rPr>
              <w:t>0.3</w:t>
            </w:r>
          </w:p>
        </w:tc>
        <w:tc>
          <w:tcPr>
            <w:tcW w:w="57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D7" w14:textId="77777777" w:rsidR="007F73D0" w:rsidRDefault="00000000">
            <w:r>
              <w:rPr>
                <w:sz w:val="18"/>
                <w:szCs w:val="18"/>
              </w:rPr>
              <w:t>Service account setup and credential store</w:t>
            </w:r>
          </w:p>
        </w:tc>
        <w:tc>
          <w:tcPr>
            <w:tcW w:w="25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D8" w14:textId="77777777" w:rsidR="007F73D0" w:rsidRDefault="00000000">
            <w:r>
              <w:rPr>
                <w:sz w:val="18"/>
                <w:szCs w:val="18"/>
              </w:rPr>
              <w:t>Naming, identity approach</w:t>
            </w:r>
          </w:p>
        </w:tc>
      </w:tr>
      <w:tr w:rsidR="007F73D0" w14:paraId="3283DADD" w14:textId="77777777">
        <w:tblPrEx>
          <w:tblCellMar>
            <w:top w:w="0" w:type="dxa"/>
            <w:bottom w:w="0" w:type="dxa"/>
          </w:tblCellMar>
        </w:tblPrEx>
        <w:tc>
          <w:tcPr>
            <w:tcW w:w="8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DA" w14:textId="77777777" w:rsidR="007F73D0" w:rsidRDefault="00000000">
            <w:r>
              <w:rPr>
                <w:sz w:val="18"/>
                <w:szCs w:val="18"/>
              </w:rPr>
              <w:t>0.4</w:t>
            </w:r>
          </w:p>
        </w:tc>
        <w:tc>
          <w:tcPr>
            <w:tcW w:w="57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DB" w14:textId="77777777" w:rsidR="007F73D0" w:rsidRDefault="00000000">
            <w:r>
              <w:rPr>
                <w:sz w:val="18"/>
                <w:szCs w:val="18"/>
              </w:rPr>
              <w:t>Dataverse table &amp; schema build (seven tables, relationships, option sets)</w:t>
            </w:r>
          </w:p>
        </w:tc>
        <w:tc>
          <w:tcPr>
            <w:tcW w:w="25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DC" w14:textId="77777777" w:rsidR="007F73D0" w:rsidRDefault="00000000">
            <w:r>
              <w:rPr>
                <w:sz w:val="18"/>
                <w:szCs w:val="18"/>
              </w:rPr>
              <w:t>Component map, naming, data model v0.2</w:t>
            </w:r>
          </w:p>
        </w:tc>
      </w:tr>
      <w:tr w:rsidR="007F73D0" w14:paraId="3283DAE1" w14:textId="77777777">
        <w:tblPrEx>
          <w:tblCellMar>
            <w:top w:w="0" w:type="dxa"/>
            <w:bottom w:w="0" w:type="dxa"/>
          </w:tblCellMar>
        </w:tblPrEx>
        <w:tc>
          <w:tcPr>
            <w:tcW w:w="8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DE" w14:textId="77777777" w:rsidR="007F73D0" w:rsidRDefault="00000000">
            <w:r>
              <w:rPr>
                <w:sz w:val="18"/>
                <w:szCs w:val="18"/>
              </w:rPr>
              <w:t>0.5</w:t>
            </w:r>
          </w:p>
        </w:tc>
        <w:tc>
          <w:tcPr>
            <w:tcW w:w="57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DF" w14:textId="77777777" w:rsidR="007F73D0" w:rsidRDefault="00000000">
            <w:r>
              <w:rPr>
                <w:sz w:val="18"/>
                <w:szCs w:val="18"/>
              </w:rPr>
              <w:t>Security model (admin/finance/trustee roles + trustee field-level security) — gated on DPO sign-off</w:t>
            </w:r>
          </w:p>
        </w:tc>
        <w:tc>
          <w:tcPr>
            <w:tcW w:w="25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E0" w14:textId="77777777" w:rsidR="007F73D0" w:rsidRDefault="00000000">
            <w:r>
              <w:rPr>
                <w:sz w:val="18"/>
                <w:szCs w:val="18"/>
              </w:rPr>
              <w:t>Component map, data model</w:t>
            </w:r>
          </w:p>
        </w:tc>
      </w:tr>
      <w:tr w:rsidR="007F73D0" w14:paraId="3283DAE5" w14:textId="77777777">
        <w:tblPrEx>
          <w:tblCellMar>
            <w:top w:w="0" w:type="dxa"/>
            <w:bottom w:w="0" w:type="dxa"/>
          </w:tblCellMar>
        </w:tblPrEx>
        <w:tc>
          <w:tcPr>
            <w:tcW w:w="8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E2" w14:textId="77777777" w:rsidR="007F73D0" w:rsidRDefault="00000000">
            <w:r>
              <w:rPr>
                <w:sz w:val="18"/>
                <w:szCs w:val="18"/>
              </w:rPr>
              <w:t>0.6</w:t>
            </w:r>
          </w:p>
        </w:tc>
        <w:tc>
          <w:tcPr>
            <w:tcW w:w="5726"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E3" w14:textId="77777777" w:rsidR="007F73D0" w:rsidRDefault="00000000">
            <w:r>
              <w:rPr>
                <w:sz w:val="18"/>
                <w:szCs w:val="18"/>
              </w:rPr>
              <w:t>ALM &amp; deployment runbook</w:t>
            </w:r>
          </w:p>
        </w:tc>
        <w:tc>
          <w:tcPr>
            <w:tcW w:w="2500" w:type="dxa"/>
            <w:tcBorders>
              <w:top w:val="single" w:sz="1" w:space="0" w:color="D9DDE3"/>
              <w:left w:val="single" w:sz="1" w:space="0" w:color="D9DDE3"/>
              <w:bottom w:val="single" w:sz="1" w:space="0" w:color="D9DDE3"/>
              <w:right w:val="single" w:sz="1" w:space="0" w:color="D9DDE3"/>
            </w:tcBorders>
            <w:shd w:val="clear" w:color="auto" w:fill="FFFFFF"/>
            <w:tcMar>
              <w:top w:w="70" w:type="dxa"/>
              <w:left w:w="130" w:type="dxa"/>
              <w:bottom w:w="70" w:type="dxa"/>
              <w:right w:w="130" w:type="dxa"/>
            </w:tcMar>
            <w:vAlign w:val="center"/>
          </w:tcPr>
          <w:p w14:paraId="3283DAE4" w14:textId="77777777" w:rsidR="007F73D0" w:rsidRDefault="00000000">
            <w:r>
              <w:rPr>
                <w:sz w:val="18"/>
                <w:szCs w:val="18"/>
              </w:rPr>
              <w:t>Packaging &amp; ALM strategy (Section 7)</w:t>
            </w:r>
          </w:p>
        </w:tc>
      </w:tr>
      <w:tr w:rsidR="007F73D0" w14:paraId="3283DAE9" w14:textId="77777777">
        <w:tblPrEx>
          <w:tblCellMar>
            <w:top w:w="0" w:type="dxa"/>
            <w:bottom w:w="0" w:type="dxa"/>
          </w:tblCellMar>
        </w:tblPrEx>
        <w:tc>
          <w:tcPr>
            <w:tcW w:w="8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E6" w14:textId="77777777" w:rsidR="007F73D0" w:rsidRDefault="00000000">
            <w:r>
              <w:rPr>
                <w:sz w:val="18"/>
                <w:szCs w:val="18"/>
              </w:rPr>
              <w:t>0.7</w:t>
            </w:r>
          </w:p>
        </w:tc>
        <w:tc>
          <w:tcPr>
            <w:tcW w:w="5726"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E7" w14:textId="77777777" w:rsidR="007F73D0" w:rsidRDefault="00000000">
            <w:r>
              <w:rPr>
                <w:sz w:val="18"/>
                <w:szCs w:val="18"/>
              </w:rPr>
              <w:t>Data governance &amp; compliance (DPIA, record of processing)</w:t>
            </w:r>
          </w:p>
        </w:tc>
        <w:tc>
          <w:tcPr>
            <w:tcW w:w="2500" w:type="dxa"/>
            <w:tcBorders>
              <w:top w:val="single" w:sz="1" w:space="0" w:color="D9DDE3"/>
              <w:left w:val="single" w:sz="1" w:space="0" w:color="D9DDE3"/>
              <w:bottom w:val="single" w:sz="1" w:space="0" w:color="D9DDE3"/>
              <w:right w:val="single" w:sz="1" w:space="0" w:color="D9DDE3"/>
            </w:tcBorders>
            <w:shd w:val="clear" w:color="auto" w:fill="F7F5F2"/>
            <w:tcMar>
              <w:top w:w="70" w:type="dxa"/>
              <w:left w:w="130" w:type="dxa"/>
              <w:bottom w:w="70" w:type="dxa"/>
              <w:right w:w="130" w:type="dxa"/>
            </w:tcMar>
            <w:vAlign w:val="center"/>
          </w:tcPr>
          <w:p w14:paraId="3283DAE8" w14:textId="77777777" w:rsidR="007F73D0" w:rsidRDefault="00000000">
            <w:r>
              <w:rPr>
                <w:sz w:val="18"/>
                <w:szCs w:val="18"/>
              </w:rPr>
              <w:t>Retention schema (Section 8), DLP stance</w:t>
            </w:r>
          </w:p>
        </w:tc>
      </w:tr>
    </w:tbl>
    <w:p w14:paraId="3283DAEA" w14:textId="77777777" w:rsidR="007F73D0" w:rsidRDefault="007F73D0">
      <w:pPr>
        <w:pBdr>
          <w:bottom w:val="single" w:sz="12" w:space="1" w:color="C99A52"/>
        </w:pBdr>
        <w:spacing w:before="200" w:after="200"/>
      </w:pPr>
    </w:p>
    <w:p w14:paraId="3283DAEB" w14:textId="77777777" w:rsidR="007F73D0" w:rsidRDefault="00000000">
      <w:pPr>
        <w:spacing w:before="80"/>
      </w:pPr>
      <w:r>
        <w:rPr>
          <w:i/>
          <w:iCs/>
          <w:color w:val="8A9099"/>
          <w:sz w:val="17"/>
          <w:szCs w:val="17"/>
        </w:rPr>
        <w:t>Prepared by Xander Lykopoulos · Argelis Consultancy · Architectuur tussen ambitie en IT</w:t>
      </w:r>
    </w:p>
    <w:sectPr w:rsidR="007F73D0">
      <w:headerReference w:type="default" r:id="rId13"/>
      <w:footerReference w:type="default" r:id="rId14"/>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E7EA7F" w14:textId="77777777" w:rsidR="00A30BAC" w:rsidRDefault="00A30BAC">
      <w:r>
        <w:separator/>
      </w:r>
    </w:p>
  </w:endnote>
  <w:endnote w:type="continuationSeparator" w:id="0">
    <w:p w14:paraId="7473FFA3" w14:textId="77777777" w:rsidR="00A30BAC" w:rsidRDefault="00A30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venir">
    <w:panose1 w:val="02000503020000020003"/>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83DAEE" w14:textId="77777777" w:rsidR="007F73D0" w:rsidRDefault="007F73D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83DAF0" w14:textId="01E88152" w:rsidR="007F73D0" w:rsidRDefault="00000000">
    <w:pPr>
      <w:pBdr>
        <w:top w:val="single" w:sz="4" w:space="6" w:color="D9DDE3"/>
      </w:pBdr>
      <w:tabs>
        <w:tab w:val="right" w:pos="9026"/>
      </w:tabs>
    </w:pPr>
    <w:r>
      <w:rPr>
        <w:color w:val="8A9099"/>
        <w:sz w:val="15"/>
        <w:szCs w:val="15"/>
      </w:rPr>
      <w:t>v0.4 — Draft  ·  July 2026  ·  Confidential</w:t>
    </w:r>
    <w:r>
      <w:rPr>
        <w:color w:val="8A9099"/>
        <w:sz w:val="15"/>
        <w:szCs w:val="15"/>
      </w:rPr>
      <w:tab/>
      <w:t xml:space="preserve">Page </w:t>
    </w:r>
    <w:r>
      <w:rPr>
        <w:color w:val="8A9099"/>
        <w:sz w:val="15"/>
        <w:szCs w:val="15"/>
      </w:rPr>
      <w:fldChar w:fldCharType="begin"/>
    </w:r>
    <w:r>
      <w:rPr>
        <w:color w:val="8A9099"/>
        <w:sz w:val="15"/>
        <w:szCs w:val="15"/>
      </w:rPr>
      <w:instrText>PAGE</w:instrText>
    </w:r>
    <w:r>
      <w:rPr>
        <w:color w:val="8A9099"/>
        <w:sz w:val="15"/>
        <w:szCs w:val="15"/>
      </w:rPr>
      <w:fldChar w:fldCharType="separate"/>
    </w:r>
    <w:r w:rsidR="00AF2DF5">
      <w:rPr>
        <w:noProof/>
        <w:color w:val="8A9099"/>
        <w:sz w:val="15"/>
        <w:szCs w:val="15"/>
      </w:rPr>
      <w:t>2</w:t>
    </w:r>
    <w:r>
      <w:rPr>
        <w:color w:val="8A909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6F4CC4" w14:textId="77777777" w:rsidR="00A30BAC" w:rsidRDefault="00A30BAC">
      <w:r>
        <w:separator/>
      </w:r>
    </w:p>
  </w:footnote>
  <w:footnote w:type="continuationSeparator" w:id="0">
    <w:p w14:paraId="0A0065A9" w14:textId="77777777" w:rsidR="00A30BAC" w:rsidRDefault="00A30B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83DAEF" w14:textId="77777777" w:rsidR="007F73D0" w:rsidRDefault="00000000">
    <w:pPr>
      <w:pBdr>
        <w:bottom w:val="single" w:sz="4" w:space="6" w:color="D9DDE3"/>
      </w:pBdr>
      <w:tabs>
        <w:tab w:val="right" w:pos="9026"/>
      </w:tabs>
    </w:pPr>
    <w:r>
      <w:rPr>
        <w:b/>
        <w:bCs/>
        <w:color w:val="05132A"/>
        <w:sz w:val="15"/>
        <w:szCs w:val="15"/>
      </w:rPr>
      <w:t>Argelis Consultancy</w:t>
    </w:r>
    <w:r>
      <w:rPr>
        <w:color w:val="8A9099"/>
        <w:sz w:val="15"/>
        <w:szCs w:val="15"/>
      </w:rPr>
      <w:tab/>
      <w:t>Solution Architecture — Revitalise Grant Automation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0D2F4A"/>
    <w:multiLevelType w:val="hybridMultilevel"/>
    <w:tmpl w:val="D7DC89F2"/>
    <w:lvl w:ilvl="0" w:tplc="A210AE92">
      <w:start w:val="1"/>
      <w:numFmt w:val="bullet"/>
      <w:lvlText w:val="●"/>
      <w:lvlJc w:val="left"/>
      <w:pPr>
        <w:ind w:left="720" w:hanging="360"/>
      </w:pPr>
    </w:lvl>
    <w:lvl w:ilvl="1" w:tplc="CD3AA828">
      <w:start w:val="1"/>
      <w:numFmt w:val="bullet"/>
      <w:lvlText w:val="○"/>
      <w:lvlJc w:val="left"/>
      <w:pPr>
        <w:ind w:left="1440" w:hanging="360"/>
      </w:pPr>
    </w:lvl>
    <w:lvl w:ilvl="2" w:tplc="B38EF71E">
      <w:start w:val="1"/>
      <w:numFmt w:val="bullet"/>
      <w:lvlText w:val="■"/>
      <w:lvlJc w:val="left"/>
      <w:pPr>
        <w:ind w:left="2160" w:hanging="360"/>
      </w:pPr>
    </w:lvl>
    <w:lvl w:ilvl="3" w:tplc="04AC82FE">
      <w:start w:val="1"/>
      <w:numFmt w:val="bullet"/>
      <w:lvlText w:val="●"/>
      <w:lvlJc w:val="left"/>
      <w:pPr>
        <w:ind w:left="2880" w:hanging="360"/>
      </w:pPr>
    </w:lvl>
    <w:lvl w:ilvl="4" w:tplc="E0E42092">
      <w:start w:val="1"/>
      <w:numFmt w:val="bullet"/>
      <w:lvlText w:val="○"/>
      <w:lvlJc w:val="left"/>
      <w:pPr>
        <w:ind w:left="3600" w:hanging="360"/>
      </w:pPr>
    </w:lvl>
    <w:lvl w:ilvl="5" w:tplc="DBF62AA0">
      <w:start w:val="1"/>
      <w:numFmt w:val="bullet"/>
      <w:lvlText w:val="■"/>
      <w:lvlJc w:val="left"/>
      <w:pPr>
        <w:ind w:left="4320" w:hanging="360"/>
      </w:pPr>
    </w:lvl>
    <w:lvl w:ilvl="6" w:tplc="A6B289D6">
      <w:start w:val="1"/>
      <w:numFmt w:val="bullet"/>
      <w:lvlText w:val="●"/>
      <w:lvlJc w:val="left"/>
      <w:pPr>
        <w:ind w:left="5040" w:hanging="360"/>
      </w:pPr>
    </w:lvl>
    <w:lvl w:ilvl="7" w:tplc="72746C10">
      <w:start w:val="1"/>
      <w:numFmt w:val="bullet"/>
      <w:lvlText w:val="●"/>
      <w:lvlJc w:val="left"/>
      <w:pPr>
        <w:ind w:left="5760" w:hanging="360"/>
      </w:pPr>
    </w:lvl>
    <w:lvl w:ilvl="8" w:tplc="32FEB03A">
      <w:start w:val="1"/>
      <w:numFmt w:val="bullet"/>
      <w:lvlText w:val="●"/>
      <w:lvlJc w:val="left"/>
      <w:pPr>
        <w:ind w:left="6480" w:hanging="360"/>
      </w:pPr>
    </w:lvl>
  </w:abstractNum>
  <w:abstractNum w:abstractNumId="1" w15:restartNumberingAfterBreak="0">
    <w:nsid w:val="5ACA4074"/>
    <w:multiLevelType w:val="hybridMultilevel"/>
    <w:tmpl w:val="D26C39EC"/>
    <w:lvl w:ilvl="0" w:tplc="6F8012AC">
      <w:start w:val="1"/>
      <w:numFmt w:val="bullet"/>
      <w:lvlText w:val="•"/>
      <w:lvlJc w:val="left"/>
      <w:pPr>
        <w:ind w:left="460" w:hanging="260"/>
      </w:pPr>
      <w:rPr>
        <w:color w:val="C99A52"/>
      </w:rPr>
    </w:lvl>
    <w:lvl w:ilvl="1" w:tplc="B5A29E00">
      <w:start w:val="1"/>
      <w:numFmt w:val="bullet"/>
      <w:lvlText w:val="–"/>
      <w:lvlJc w:val="left"/>
      <w:pPr>
        <w:ind w:left="900" w:hanging="260"/>
      </w:pPr>
      <w:rPr>
        <w:color w:val="8A9099"/>
      </w:rPr>
    </w:lvl>
    <w:lvl w:ilvl="2" w:tplc="FCA276A4">
      <w:numFmt w:val="decimal"/>
      <w:lvlText w:val=""/>
      <w:lvlJc w:val="left"/>
    </w:lvl>
    <w:lvl w:ilvl="3" w:tplc="075CB968">
      <w:numFmt w:val="decimal"/>
      <w:lvlText w:val=""/>
      <w:lvlJc w:val="left"/>
    </w:lvl>
    <w:lvl w:ilvl="4" w:tplc="774ADE62">
      <w:numFmt w:val="decimal"/>
      <w:lvlText w:val=""/>
      <w:lvlJc w:val="left"/>
    </w:lvl>
    <w:lvl w:ilvl="5" w:tplc="FD8EF804">
      <w:numFmt w:val="decimal"/>
      <w:lvlText w:val=""/>
      <w:lvlJc w:val="left"/>
    </w:lvl>
    <w:lvl w:ilvl="6" w:tplc="40DCB23E">
      <w:numFmt w:val="decimal"/>
      <w:lvlText w:val=""/>
      <w:lvlJc w:val="left"/>
    </w:lvl>
    <w:lvl w:ilvl="7" w:tplc="75802202">
      <w:numFmt w:val="decimal"/>
      <w:lvlText w:val=""/>
      <w:lvlJc w:val="left"/>
    </w:lvl>
    <w:lvl w:ilvl="8" w:tplc="EB62D5A8">
      <w:numFmt w:val="decimal"/>
      <w:lvlText w:val=""/>
      <w:lvlJc w:val="left"/>
    </w:lvl>
  </w:abstractNum>
  <w:num w:numId="1" w16cid:durableId="592931681">
    <w:abstractNumId w:val="0"/>
    <w:lvlOverride w:ilvl="0">
      <w:startOverride w:val="1"/>
    </w:lvlOverride>
  </w:num>
  <w:num w:numId="2" w16cid:durableId="94249029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3D0"/>
    <w:rsid w:val="00096C02"/>
    <w:rsid w:val="00187437"/>
    <w:rsid w:val="0067656C"/>
    <w:rsid w:val="007F73D0"/>
    <w:rsid w:val="009F6570"/>
    <w:rsid w:val="00A30BAC"/>
    <w:rsid w:val="00AF2DF5"/>
    <w:rsid w:val="00D046AB"/>
    <w:rsid w:val="00D147D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3283D84B"/>
  <w15:docId w15:val="{EDE3B91E-A13C-214A-9299-50977E3C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B2430"/>
        <w:sz w:val="21"/>
        <w:szCs w:val="21"/>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C99A52"/>
      </w:pBdr>
      <w:spacing w:before="300" w:after="140"/>
      <w:outlineLvl w:val="0"/>
    </w:pPr>
    <w:rPr>
      <w:b/>
      <w:bCs/>
      <w:color w:val="05132A"/>
      <w:sz w:val="30"/>
      <w:szCs w:val="30"/>
    </w:rPr>
  </w:style>
  <w:style w:type="paragraph" w:styleId="Heading2">
    <w:name w:val="heading 2"/>
    <w:uiPriority w:val="9"/>
    <w:unhideWhenUsed/>
    <w:qFormat/>
    <w:pPr>
      <w:spacing w:before="220" w:after="100"/>
      <w:outlineLvl w:val="1"/>
    </w:pPr>
    <w:rPr>
      <w:b/>
      <w:bCs/>
      <w:color w:val="05132A"/>
      <w:sz w:val="24"/>
      <w:szCs w:val="24"/>
    </w:rPr>
  </w:style>
  <w:style w:type="paragraph" w:styleId="Heading3">
    <w:name w:val="heading 3"/>
    <w:uiPriority w:val="9"/>
    <w:unhideWhenUsed/>
    <w:qFormat/>
    <w:pPr>
      <w:spacing w:before="160" w:after="60"/>
      <w:outlineLvl w:val="2"/>
    </w:pPr>
    <w:rPr>
      <w:b/>
      <w:bCs/>
      <w:color w:val="C99A5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147DE"/>
    <w:pPr>
      <w:keepNext/>
      <w:keepLines/>
      <w:pBdr>
        <w:bottom w:val="none" w:sz="0" w:space="0" w:color="auto"/>
      </w:pBdr>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D147DE"/>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D147DE"/>
    <w:pPr>
      <w:spacing w:before="120"/>
      <w:ind w:left="210"/>
    </w:pPr>
    <w:rPr>
      <w:rFonts w:asciiTheme="minorHAnsi" w:hAnsiTheme="minorHAnsi"/>
      <w:b/>
      <w:bCs/>
      <w:sz w:val="22"/>
      <w:szCs w:val="22"/>
    </w:rPr>
  </w:style>
  <w:style w:type="paragraph" w:styleId="TOC3">
    <w:name w:val="toc 3"/>
    <w:basedOn w:val="Normal"/>
    <w:next w:val="Normal"/>
    <w:autoRedefine/>
    <w:uiPriority w:val="39"/>
    <w:unhideWhenUsed/>
    <w:rsid w:val="00D147DE"/>
    <w:pPr>
      <w:ind w:left="420"/>
    </w:pPr>
    <w:rPr>
      <w:rFonts w:asciiTheme="minorHAnsi" w:hAnsiTheme="minorHAnsi"/>
      <w:sz w:val="20"/>
      <w:szCs w:val="20"/>
    </w:rPr>
  </w:style>
  <w:style w:type="paragraph" w:styleId="TOC4">
    <w:name w:val="toc 4"/>
    <w:basedOn w:val="Normal"/>
    <w:next w:val="Normal"/>
    <w:autoRedefine/>
    <w:uiPriority w:val="39"/>
    <w:semiHidden/>
    <w:unhideWhenUsed/>
    <w:rsid w:val="00D147DE"/>
    <w:pPr>
      <w:ind w:left="630"/>
    </w:pPr>
    <w:rPr>
      <w:rFonts w:asciiTheme="minorHAnsi" w:hAnsiTheme="minorHAnsi"/>
      <w:sz w:val="20"/>
      <w:szCs w:val="20"/>
    </w:rPr>
  </w:style>
  <w:style w:type="paragraph" w:styleId="TOC5">
    <w:name w:val="toc 5"/>
    <w:basedOn w:val="Normal"/>
    <w:next w:val="Normal"/>
    <w:autoRedefine/>
    <w:uiPriority w:val="39"/>
    <w:semiHidden/>
    <w:unhideWhenUsed/>
    <w:rsid w:val="00D147DE"/>
    <w:pPr>
      <w:ind w:left="840"/>
    </w:pPr>
    <w:rPr>
      <w:rFonts w:asciiTheme="minorHAnsi" w:hAnsiTheme="minorHAnsi"/>
      <w:sz w:val="20"/>
      <w:szCs w:val="20"/>
    </w:rPr>
  </w:style>
  <w:style w:type="paragraph" w:styleId="TOC6">
    <w:name w:val="toc 6"/>
    <w:basedOn w:val="Normal"/>
    <w:next w:val="Normal"/>
    <w:autoRedefine/>
    <w:uiPriority w:val="39"/>
    <w:semiHidden/>
    <w:unhideWhenUsed/>
    <w:rsid w:val="00D147DE"/>
    <w:pPr>
      <w:ind w:left="1050"/>
    </w:pPr>
    <w:rPr>
      <w:rFonts w:asciiTheme="minorHAnsi" w:hAnsiTheme="minorHAnsi"/>
      <w:sz w:val="20"/>
      <w:szCs w:val="20"/>
    </w:rPr>
  </w:style>
  <w:style w:type="paragraph" w:styleId="TOC7">
    <w:name w:val="toc 7"/>
    <w:basedOn w:val="Normal"/>
    <w:next w:val="Normal"/>
    <w:autoRedefine/>
    <w:uiPriority w:val="39"/>
    <w:semiHidden/>
    <w:unhideWhenUsed/>
    <w:rsid w:val="00D147DE"/>
    <w:pPr>
      <w:ind w:left="1260"/>
    </w:pPr>
    <w:rPr>
      <w:rFonts w:asciiTheme="minorHAnsi" w:hAnsiTheme="minorHAnsi"/>
      <w:sz w:val="20"/>
      <w:szCs w:val="20"/>
    </w:rPr>
  </w:style>
  <w:style w:type="paragraph" w:styleId="TOC8">
    <w:name w:val="toc 8"/>
    <w:basedOn w:val="Normal"/>
    <w:next w:val="Normal"/>
    <w:autoRedefine/>
    <w:uiPriority w:val="39"/>
    <w:semiHidden/>
    <w:unhideWhenUsed/>
    <w:rsid w:val="00D147DE"/>
    <w:pPr>
      <w:ind w:left="1470"/>
    </w:pPr>
    <w:rPr>
      <w:rFonts w:asciiTheme="minorHAnsi" w:hAnsiTheme="minorHAnsi"/>
      <w:sz w:val="20"/>
      <w:szCs w:val="20"/>
    </w:rPr>
  </w:style>
  <w:style w:type="paragraph" w:styleId="TOC9">
    <w:name w:val="toc 9"/>
    <w:basedOn w:val="Normal"/>
    <w:next w:val="Normal"/>
    <w:autoRedefine/>
    <w:uiPriority w:val="39"/>
    <w:semiHidden/>
    <w:unhideWhenUsed/>
    <w:rsid w:val="00D147DE"/>
    <w:pPr>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8f5036-0c97-4fb2-9995-e6511ad4535b">
      <Terms xmlns="http://schemas.microsoft.com/office/infopath/2007/PartnerControls"/>
    </lcf76f155ced4ddcb4097134ff3c332f>
    <TaxCatchAll xmlns="d3a2e4d4-5189-48ac-a210-e1294fbd99f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BFD6B84F7029419816FFCF5AF812DE" ma:contentTypeVersion="9" ma:contentTypeDescription="Create a new document." ma:contentTypeScope="" ma:versionID="ae75f7d6110eb3c01e30b5864ecce8d9">
  <xsd:schema xmlns:xsd="http://www.w3.org/2001/XMLSchema" xmlns:xs="http://www.w3.org/2001/XMLSchema" xmlns:p="http://schemas.microsoft.com/office/2006/metadata/properties" xmlns:ns2="f28f5036-0c97-4fb2-9995-e6511ad4535b" xmlns:ns3="d3a2e4d4-5189-48ac-a210-e1294fbd99f3" targetNamespace="http://schemas.microsoft.com/office/2006/metadata/properties" ma:root="true" ma:fieldsID="5f758225586994ab2ed7147b7dc97d7e" ns2:_="" ns3:_="">
    <xsd:import namespace="f28f5036-0c97-4fb2-9995-e6511ad4535b"/>
    <xsd:import namespace="d3a2e4d4-5189-48ac-a210-e1294fbd99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f5036-0c97-4fb2-9995-e6511ad453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edfda32-ed56-4dd9-bd64-14fdcb8b12d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3a2e4d4-5189-48ac-a210-e1294fbd99f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09b44fd-1af0-4c99-971b-3abc3e199a55}" ma:internalName="TaxCatchAll" ma:showField="CatchAllData" ma:web="d3a2e4d4-5189-48ac-a210-e1294fbd99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A27D4-7D8D-4F25-A25D-C46CD47E5897}">
  <ds:schemaRefs>
    <ds:schemaRef ds:uri="http://schemas.microsoft.com/office/2006/metadata/properties"/>
    <ds:schemaRef ds:uri="http://schemas.microsoft.com/office/infopath/2007/PartnerControls"/>
    <ds:schemaRef ds:uri="2210b86c-e909-4249-92de-ec00d408f99c"/>
    <ds:schemaRef ds:uri="14ce63aa-fd37-4709-bd1a-197724d442bc"/>
  </ds:schemaRefs>
</ds:datastoreItem>
</file>

<file path=customXml/itemProps2.xml><?xml version="1.0" encoding="utf-8"?>
<ds:datastoreItem xmlns:ds="http://schemas.openxmlformats.org/officeDocument/2006/customXml" ds:itemID="{839A6F38-00FD-4D54-8233-52223563B57A}">
  <ds:schemaRefs>
    <ds:schemaRef ds:uri="http://schemas.microsoft.com/sharepoint/v3/contenttype/forms"/>
  </ds:schemaRefs>
</ds:datastoreItem>
</file>

<file path=customXml/itemProps3.xml><?xml version="1.0" encoding="utf-8"?>
<ds:datastoreItem xmlns:ds="http://schemas.openxmlformats.org/officeDocument/2006/customXml" ds:itemID="{94DC6E0A-895D-4946-951B-E81E37657C0E}"/>
</file>

<file path=customXml/itemProps4.xml><?xml version="1.0" encoding="utf-8"?>
<ds:datastoreItem xmlns:ds="http://schemas.openxmlformats.org/officeDocument/2006/customXml" ds:itemID="{2CADDB47-B246-6D4C-99CE-4C458374C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5913</Words>
  <Characters>33710</Characters>
  <Application>Microsoft Office Word</Application>
  <DocSecurity>0</DocSecurity>
  <Lines>280</Lines>
  <Paragraphs>79</Paragraphs>
  <ScaleCrop>false</ScaleCrop>
  <Company/>
  <LinksUpToDate>false</LinksUpToDate>
  <CharactersWithSpaces>39544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 — Grant Application Process Automation</dc:title>
  <dc:creator>Argelis Consultancy — Xander Lykopoulos</dc:creator>
  <cp:lastModifiedBy>Xander Lykopoulos</cp:lastModifiedBy>
  <cp:revision>7</cp:revision>
  <dcterms:created xsi:type="dcterms:W3CDTF">2026-07-09T10:46:00Z</dcterms:created>
  <dcterms:modified xsi:type="dcterms:W3CDTF">2026-07-15T09:18:00Z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0x01010019BFD6B84F7029419816FFCF5AF812DE</vt:lpwstr>
  </property>
  <property fmtid="{D5CDD505-2E9C-101B-9397-08002B2CF9AE}" pid="3" name="MediaServiceImageTags">
    <vt:lpwstr/>
  </property>
</Properties>
</file>