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C0C004" w14:textId="77777777" w:rsidR="00E25567" w:rsidRDefault="0052535F">
      <w:pPr>
        <w:spacing w:before="500" w:after="520"/>
      </w:pPr>
      <w:r>
        <w:rPr>
          <w:noProof/>
        </w:rPr>
        <w:drawing>
          <wp:inline distT="0" distB="0" distL="0" distR="0" wp14:anchorId="79C0C039" wp14:editId="79C0C03A">
            <wp:extent cx="22479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47900" cy="742950"/>
                    </a:xfrm>
                    <a:prstGeom prst="rect">
                      <a:avLst/>
                    </a:prstGeom>
                  </pic:spPr>
                </pic:pic>
              </a:graphicData>
            </a:graphic>
          </wp:inline>
        </w:drawing>
      </w:r>
    </w:p>
    <w:p w14:paraId="79C0C005" w14:textId="77777777" w:rsidR="00E25567" w:rsidRDefault="0052535F">
      <w:pPr>
        <w:spacing w:after="130"/>
      </w:pPr>
      <w:r>
        <w:rPr>
          <w:b/>
          <w:bCs/>
          <w:caps/>
          <w:color w:val="C9A15B"/>
          <w:spacing w:val="16"/>
          <w:sz w:val="19"/>
          <w:szCs w:val="19"/>
        </w:rPr>
        <w:t>Legal</w:t>
      </w:r>
    </w:p>
    <w:p w14:paraId="79C0C006" w14:textId="77777777" w:rsidR="00E25567" w:rsidRPr="00254829" w:rsidRDefault="0052535F">
      <w:pPr>
        <w:spacing w:after="70"/>
        <w:rPr>
          <w:rFonts w:ascii="Avenir Medium" w:hAnsi="Avenir Medium"/>
        </w:rPr>
      </w:pPr>
      <w:r w:rsidRPr="00254829">
        <w:rPr>
          <w:rFonts w:ascii="Avenir Medium" w:eastAsia="Avenir LT Pro" w:hAnsi="Avenir Medium" w:cs="Avenir LT Pro"/>
          <w:caps/>
          <w:color w:val="071B3A"/>
          <w:sz w:val="52"/>
          <w:szCs w:val="52"/>
        </w:rPr>
        <w:t>Terms &amp; Conditions</w:t>
      </w:r>
    </w:p>
    <w:p w14:paraId="79C0C007" w14:textId="77777777" w:rsidR="00E25567" w:rsidRDefault="0052535F">
      <w:pPr>
        <w:spacing w:after="200"/>
      </w:pPr>
      <w:r>
        <w:rPr>
          <w:rFonts w:ascii="Avenir LT Pro" w:eastAsia="Avenir LT Pro" w:hAnsi="Avenir LT Pro" w:cs="Avenir LT Pro"/>
          <w:color w:val="071B3A"/>
          <w:sz w:val="28"/>
          <w:szCs w:val="28"/>
        </w:rPr>
        <w:t>Build &amp; Implementation Services</w:t>
      </w:r>
    </w:p>
    <w:p w14:paraId="79C0C008" w14:textId="77777777" w:rsidR="00E25567" w:rsidRDefault="00E25567">
      <w:pPr>
        <w:pBdr>
          <w:bottom w:val="single" w:sz="14" w:space="6" w:color="C9A15B"/>
        </w:pBdr>
        <w:spacing w:after="170"/>
      </w:pPr>
    </w:p>
    <w:p w14:paraId="79C0C009" w14:textId="77777777" w:rsidR="00E25567" w:rsidRDefault="0052535F">
      <w:pPr>
        <w:spacing w:after="40"/>
      </w:pPr>
      <w:r>
        <w:rPr>
          <w:caps/>
          <w:color w:val="8A9099"/>
          <w:spacing w:val="10"/>
          <w:sz w:val="19"/>
          <w:szCs w:val="19"/>
        </w:rPr>
        <w:t>v1.0  ·  August 2026</w:t>
      </w:r>
    </w:p>
    <w:p w14:paraId="79C0C00A" w14:textId="77777777" w:rsidR="00E25567" w:rsidRDefault="0052535F">
      <w:r>
        <w:br w:type="page"/>
      </w:r>
    </w:p>
    <w:p w14:paraId="79C0C00B" w14:textId="77777777" w:rsidR="00E25567" w:rsidRDefault="0052535F">
      <w:pPr>
        <w:spacing w:after="120" w:line="264" w:lineRule="auto"/>
      </w:pPr>
      <w:r>
        <w:lastRenderedPageBreak/>
        <w:t>These Terms and Conditions Build &amp; Implementation Services ("Build Terms") supplement the General Terms and Conditions of Consultancy Services ("General Terms") issued by Argelis Consultancy. They apply only where a Service Agreement expressly incorporates them and provides for build, configuration, development, automation or other implementation work ("Build Services").</w:t>
      </w:r>
    </w:p>
    <w:p w14:paraId="79C0C00C" w14:textId="77777777" w:rsidR="00E25567" w:rsidRDefault="0052535F">
      <w:pPr>
        <w:spacing w:after="120" w:line="264" w:lineRule="auto"/>
      </w:pPr>
      <w:r>
        <w:t>Capitalised terms not defined here have the meaning given in the General Terms. These Build Terms are governed by the same law, and follow the same UK-client additional-terms approach, as the General Terms.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E25567" w14:paraId="79C0C00F" w14:textId="77777777">
        <w:tblPrEx>
          <w:tblCellMar>
            <w:top w:w="0" w:type="dxa"/>
            <w:bottom w:w="0" w:type="dxa"/>
          </w:tblCellMar>
        </w:tblPrEx>
        <w:tc>
          <w:tcPr>
            <w:tcW w:w="9890" w:type="dxa"/>
            <w:tcBorders>
              <w:top w:val="single" w:sz="4" w:space="0" w:color="D9DDE3"/>
              <w:left w:val="single" w:sz="22" w:space="0" w:color="071B3A"/>
              <w:bottom w:val="single" w:sz="4" w:space="0" w:color="D9DDE3"/>
              <w:right w:val="single" w:sz="4" w:space="0" w:color="D9DDE3"/>
            </w:tcBorders>
            <w:shd w:val="clear" w:color="auto" w:fill="FBFAF8"/>
            <w:tcMar>
              <w:top w:w="100" w:type="dxa"/>
              <w:left w:w="170" w:type="dxa"/>
              <w:bottom w:w="100" w:type="dxa"/>
              <w:right w:w="140" w:type="dxa"/>
            </w:tcMar>
          </w:tcPr>
          <w:p w14:paraId="79C0C00D" w14:textId="77777777" w:rsidR="00E25567" w:rsidRDefault="0052535F">
            <w:pPr>
              <w:spacing w:after="110"/>
            </w:pPr>
            <w:r>
              <w:rPr>
                <w:b/>
                <w:bCs/>
                <w:caps/>
                <w:color w:val="071B3A"/>
                <w:spacing w:val="12"/>
                <w:sz w:val="17"/>
                <w:szCs w:val="17"/>
              </w:rPr>
              <w:t>Order of precedence</w:t>
            </w:r>
          </w:p>
          <w:p w14:paraId="79C0C00E" w14:textId="77777777" w:rsidR="00E25567" w:rsidRDefault="0052535F">
            <w:pPr>
              <w:spacing w:after="100" w:line="264" w:lineRule="auto"/>
            </w:pPr>
            <w:r>
              <w:t>In the event of conflict, the Service Agreement prevails over these Build Terms, and these Build Terms prevail over the General Terms in respect of Build Services. For all matters other than Build Services, the General Terms apply unchanged.</w:t>
            </w:r>
          </w:p>
        </w:tc>
      </w:tr>
    </w:tbl>
    <w:p w14:paraId="79C0C010" w14:textId="77777777" w:rsidR="00E25567" w:rsidRPr="00254829" w:rsidRDefault="0052535F">
      <w:pPr>
        <w:pBdr>
          <w:top w:val="single" w:sz="6" w:space="8" w:color="D9DDE3"/>
        </w:pBdr>
        <w:spacing w:before="420" w:after="220"/>
        <w:rPr>
          <w:rFonts w:ascii="Avenir Medium" w:hAnsi="Avenir Medium"/>
        </w:rPr>
      </w:pPr>
      <w:r>
        <w:rPr>
          <w:rFonts w:ascii="Avenir LT Pro" w:eastAsia="Avenir LT Pro" w:hAnsi="Avenir LT Pro" w:cs="Avenir LT Pro"/>
          <w:b/>
          <w:bCs/>
          <w:color w:val="C9A15B"/>
          <w:spacing w:val="14"/>
          <w:sz w:val="22"/>
          <w:szCs w:val="22"/>
        </w:rPr>
        <w:t>B1</w:t>
      </w:r>
      <w:r>
        <w:t xml:space="preserve">    </w:t>
      </w:r>
      <w:r w:rsidRPr="00254829">
        <w:rPr>
          <w:rFonts w:ascii="Avenir Medium" w:eastAsia="Avenir LT Pro" w:hAnsi="Avenir Medium" w:cs="Avenir LT Pro"/>
          <w:caps/>
          <w:color w:val="071B3A"/>
          <w:sz w:val="30"/>
          <w:szCs w:val="30"/>
        </w:rPr>
        <w:t>Definitions</w:t>
      </w:r>
    </w:p>
    <w:p w14:paraId="79C0C011" w14:textId="77777777" w:rsidR="00E25567" w:rsidRDefault="0052535F">
      <w:pPr>
        <w:spacing w:after="100" w:line="264" w:lineRule="auto"/>
        <w:ind w:left="360" w:hanging="360"/>
      </w:pPr>
      <w:r>
        <w:rPr>
          <w:b/>
          <w:bCs/>
          <w:color w:val="071B3A"/>
        </w:rPr>
        <w:t xml:space="preserve">(a)  </w:t>
      </w:r>
      <w:r>
        <w:t>"Deliverable", in these Build Terms, means a functional output the Consultant builds or configures under a Service Agreement — for example an automation, app, flow, table, portal or integration.</w:t>
      </w:r>
    </w:p>
    <w:p w14:paraId="79C0C012" w14:textId="77777777" w:rsidR="00E25567" w:rsidRDefault="0052535F">
      <w:pPr>
        <w:spacing w:after="100" w:line="264" w:lineRule="auto"/>
        <w:ind w:left="360" w:hanging="360"/>
      </w:pPr>
      <w:r>
        <w:rPr>
          <w:b/>
          <w:bCs/>
          <w:color w:val="071B3A"/>
        </w:rPr>
        <w:t xml:space="preserve">(b)  </w:t>
      </w:r>
      <w:r>
        <w:t>"Agreed Specification" means, for each Deliverable, the requirements and acceptance criteria recorded in the documents the Client has accepted in writing and identified in the Service Agreement. Where those documents conflict, the version accepted most recently prevails. Anything not recorded in the Agreed Specification is not warranted.</w:t>
      </w:r>
    </w:p>
    <w:p w14:paraId="79C0C013" w14:textId="77777777" w:rsidR="00E25567" w:rsidRDefault="0052535F">
      <w:pPr>
        <w:spacing w:after="100" w:line="264" w:lineRule="auto"/>
        <w:ind w:left="360" w:hanging="360"/>
      </w:pPr>
      <w:r>
        <w:rPr>
          <w:b/>
          <w:bCs/>
          <w:color w:val="071B3A"/>
        </w:rPr>
        <w:t xml:space="preserve">(c)  </w:t>
      </w:r>
      <w:r>
        <w:t>"Acceptance" has the meaning in clause B5.</w:t>
      </w:r>
    </w:p>
    <w:p w14:paraId="79C0C014" w14:textId="77777777" w:rsidR="00E25567" w:rsidRDefault="0052535F">
      <w:pPr>
        <w:spacing w:after="100" w:line="264" w:lineRule="auto"/>
        <w:ind w:left="360" w:hanging="360"/>
      </w:pPr>
      <w:r>
        <w:rPr>
          <w:b/>
          <w:bCs/>
          <w:color w:val="071B3A"/>
        </w:rPr>
        <w:t xml:space="preserve">(d)  </w:t>
      </w:r>
      <w:r>
        <w:t>"Warranty Period" has the meaning in clause B4, as varied by the Service Agreement.</w:t>
      </w:r>
    </w:p>
    <w:p w14:paraId="79C0C015" w14:textId="77777777" w:rsidR="00E25567" w:rsidRDefault="0052535F">
      <w:pPr>
        <w:spacing w:after="100" w:line="264" w:lineRule="auto"/>
        <w:ind w:left="360" w:hanging="360"/>
      </w:pPr>
      <w:r>
        <w:rPr>
          <w:b/>
          <w:bCs/>
          <w:color w:val="071B3A"/>
        </w:rPr>
        <w:t xml:space="preserve">(e)  </w:t>
      </w:r>
      <w:r>
        <w:t>"Defect" has the meaning in clause B6.</w:t>
      </w:r>
    </w:p>
    <w:p w14:paraId="79C0C016" w14:textId="77777777" w:rsidR="00E25567" w:rsidRDefault="0052535F">
      <w:pPr>
        <w:spacing w:after="100" w:line="264" w:lineRule="auto"/>
        <w:ind w:left="360" w:hanging="360"/>
      </w:pPr>
      <w:r>
        <w:rPr>
          <w:b/>
          <w:bCs/>
          <w:color w:val="071B3A"/>
        </w:rPr>
        <w:t xml:space="preserve">(f)  </w:t>
      </w:r>
      <w:r>
        <w:t>"Hypercare" means the ten business days immediately after a phase go-live, unless the Service Agreement states a different window.</w:t>
      </w:r>
    </w:p>
    <w:p w14:paraId="79C0C017"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t>B2</w:t>
      </w:r>
      <w:r>
        <w:t xml:space="preserve">    </w:t>
      </w:r>
      <w:r w:rsidRPr="00254829">
        <w:rPr>
          <w:rFonts w:ascii="Avenir Medium" w:eastAsia="Avenir LT Pro" w:hAnsi="Avenir Medium" w:cs="Avenir LT Pro"/>
          <w:caps/>
          <w:color w:val="071B3A"/>
          <w:sz w:val="30"/>
          <w:szCs w:val="30"/>
        </w:rPr>
        <w:t>What is Warranted</w:t>
      </w:r>
    </w:p>
    <w:p w14:paraId="79C0C018" w14:textId="77777777" w:rsidR="00E25567" w:rsidRDefault="0052535F">
      <w:pPr>
        <w:spacing w:after="120" w:line="264" w:lineRule="auto"/>
      </w:pPr>
      <w:r>
        <w:t>The Consultant performs the Build Services with the skill and care reasonably expected of a competent practitioner in the relevant technology. The Consultant warrants that, during the Warranty Period, each Deliverable will perform in all material respects in conformity with the Agreed Specification for that Deliverable.</w:t>
      </w:r>
    </w:p>
    <w:p w14:paraId="79C0C019"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t>B3</w:t>
      </w:r>
      <w:r>
        <w:t xml:space="preserve">    </w:t>
      </w:r>
      <w:r w:rsidRPr="00254829">
        <w:rPr>
          <w:rFonts w:ascii="Avenir Medium" w:eastAsia="Avenir LT Pro" w:hAnsi="Avenir Medium" w:cs="Avenir LT Pro"/>
          <w:caps/>
          <w:color w:val="071B3A"/>
          <w:sz w:val="30"/>
          <w:szCs w:val="30"/>
        </w:rPr>
        <w:t>Obligation of Means, Not of Result</w:t>
      </w:r>
    </w:p>
    <w:p w14:paraId="79C0C01A" w14:textId="77777777" w:rsidR="00E25567" w:rsidRDefault="0052535F">
      <w:pPr>
        <w:spacing w:after="120" w:line="264" w:lineRule="auto"/>
      </w:pPr>
      <w:r>
        <w:t>The Build Services are an obligation of means (inspanningsverbintenis) and not an obligation of result. The Consultant does not warrant that the Deliverables will be free of all error or available without interruption, nor that any particular reduction in staff time or processing cost will be achieved. Any hour-saving, cost-saving or return-on-investment figures in the project documentation are planning estimates and are not warranted.</w:t>
      </w:r>
    </w:p>
    <w:p w14:paraId="79C0C01B"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t>B4</w:t>
      </w:r>
      <w:r>
        <w:t xml:space="preserve">    </w:t>
      </w:r>
      <w:r w:rsidRPr="00254829">
        <w:rPr>
          <w:rFonts w:ascii="Avenir Medium" w:eastAsia="Avenir LT Pro" w:hAnsi="Avenir Medium" w:cs="Avenir LT Pro"/>
          <w:caps/>
          <w:color w:val="071B3A"/>
          <w:sz w:val="30"/>
          <w:szCs w:val="30"/>
        </w:rPr>
        <w:t>Warranty Period and Hypercare</w:t>
      </w:r>
    </w:p>
    <w:p w14:paraId="79C0C01C" w14:textId="77777777" w:rsidR="00E25567" w:rsidRDefault="0052535F">
      <w:pPr>
        <w:spacing w:after="120" w:line="264" w:lineRule="auto"/>
      </w:pPr>
      <w:r>
        <w:t xml:space="preserve">For each Deliverable the Warranty Period is 60 calendar days from Acceptance of the phase in which it is delivered, unless the Service Agreement states a different period. During Hypercare the Consultant responds </w:t>
      </w:r>
      <w:r>
        <w:lastRenderedPageBreak/>
        <w:t>to reported Defects on the same or the next business day. Correcting a Defect does not extend the Warranty Period; a corrected component carries the unexpired remainder of the original period.</w:t>
      </w:r>
    </w:p>
    <w:p w14:paraId="79C0C01D"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t>B5</w:t>
      </w:r>
      <w:r>
        <w:t xml:space="preserve">    </w:t>
      </w:r>
      <w:r w:rsidRPr="00254829">
        <w:rPr>
          <w:rFonts w:ascii="Avenir Medium" w:eastAsia="Avenir LT Pro" w:hAnsi="Avenir Medium" w:cs="Avenir LT Pro"/>
          <w:caps/>
          <w:color w:val="071B3A"/>
          <w:sz w:val="30"/>
          <w:szCs w:val="30"/>
        </w:rPr>
        <w:t>Acceptance</w:t>
      </w:r>
    </w:p>
    <w:p w14:paraId="79C0C01E" w14:textId="77777777" w:rsidR="00E25567" w:rsidRDefault="0052535F">
      <w:pPr>
        <w:spacing w:after="120" w:line="264" w:lineRule="auto"/>
      </w:pPr>
      <w:r>
        <w:t>A phase is accepted when the Client confirms acceptance in writing, or when ten business days have passed after the Consultant submits the phase for acceptance without the Client raising a specific written objection. Putting a Deliverable into live operational use also constitutes acceptance of it.</w:t>
      </w:r>
    </w:p>
    <w:p w14:paraId="79C0C01F"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t>B6</w:t>
      </w:r>
      <w:r>
        <w:t xml:space="preserve">    </w:t>
      </w:r>
      <w:r w:rsidRPr="00254829">
        <w:rPr>
          <w:rFonts w:ascii="Avenir Medium" w:eastAsia="Avenir LT Pro" w:hAnsi="Avenir Medium" w:cs="Avenir LT Pro"/>
          <w:caps/>
          <w:color w:val="071B3A"/>
          <w:sz w:val="30"/>
          <w:szCs w:val="30"/>
        </w:rPr>
        <w:t>What Counts as a Defect</w:t>
      </w:r>
    </w:p>
    <w:p w14:paraId="79C0C020" w14:textId="77777777" w:rsidR="00E25567" w:rsidRDefault="0052535F">
      <w:pPr>
        <w:spacing w:after="120" w:line="264" w:lineRule="auto"/>
      </w:pPr>
      <w:r>
        <w:t>A "Defect" is a reproducible failure of a Deliverable to perform, in a material respect, in conformity with the Agreed Specification, reported by the Client in writing within the Warranty Period with enough detail for the Consultant to reproduce it. A change of requirement, an additional field, a new automation, a different layout, or any matter listed in clause B8 is not a Defect.</w:t>
      </w:r>
    </w:p>
    <w:p w14:paraId="79C0C021"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t>B7</w:t>
      </w:r>
      <w:r>
        <w:t xml:space="preserve">    </w:t>
      </w:r>
      <w:r w:rsidRPr="00254829">
        <w:rPr>
          <w:rFonts w:ascii="Avenir Medium" w:eastAsia="Avenir LT Pro" w:hAnsi="Avenir Medium" w:cs="Avenir LT Pro"/>
          <w:caps/>
          <w:color w:val="071B3A"/>
          <w:sz w:val="30"/>
          <w:szCs w:val="30"/>
        </w:rPr>
        <w:t>Correction, and the Only Remedy</w:t>
      </w:r>
    </w:p>
    <w:p w14:paraId="79C0C022" w14:textId="77777777" w:rsidR="00E25567" w:rsidRDefault="0052535F">
      <w:pPr>
        <w:spacing w:after="120" w:line="264" w:lineRule="auto"/>
      </w:pPr>
      <w:r>
        <w:t>On receiving a valid report of a Defect, the Consultant will investigate and, within a reasonable time and at no charge, either correct the Defect or supply a documented workaround of substantially equivalent effect. If the Consultant can do neither after reasonable attempts, the Consultant will credit the part of the Fee attributable to the non-conforming component. These remedies are the Client's sole and exclusive remedies for a Defect, and the Consultant has no further liability of any kind arising from</w:t>
      </w:r>
      <w:r>
        <w:t xml:space="preserve"> it.</w:t>
      </w:r>
    </w:p>
    <w:p w14:paraId="79C0C023"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t>B8</w:t>
      </w:r>
      <w:r>
        <w:t xml:space="preserve">    </w:t>
      </w:r>
      <w:r w:rsidRPr="00254829">
        <w:rPr>
          <w:rFonts w:ascii="Avenir Medium" w:eastAsia="Avenir LT Pro" w:hAnsi="Avenir Medium" w:cs="Avenir LT Pro"/>
          <w:caps/>
          <w:color w:val="071B3A"/>
          <w:sz w:val="30"/>
          <w:szCs w:val="30"/>
        </w:rPr>
        <w:t>What the Warranty Does Not Cover</w:t>
      </w:r>
    </w:p>
    <w:p w14:paraId="79C0C024" w14:textId="77777777" w:rsidR="00E25567" w:rsidRDefault="0052535F">
      <w:pPr>
        <w:spacing w:after="80" w:line="264" w:lineRule="auto"/>
      </w:pPr>
      <w:r>
        <w:t>The warranty does not apply to, and the Consultant is not responsible for:</w:t>
      </w:r>
    </w:p>
    <w:p w14:paraId="79C0C025" w14:textId="77777777" w:rsidR="00E25567" w:rsidRDefault="0052535F">
      <w:pPr>
        <w:spacing w:after="80" w:line="264" w:lineRule="auto"/>
        <w:ind w:left="360" w:hanging="360"/>
      </w:pPr>
      <w:r>
        <w:rPr>
          <w:color w:val="8A9099"/>
        </w:rPr>
        <w:t xml:space="preserve">–  </w:t>
      </w:r>
      <w:r>
        <w:t>Third-party platforms and services identified in the Service Agreement, together with any change, deprecation, outage, throttling, price change, licensing change, or change to an API or connector made by any of their providers.</w:t>
      </w:r>
    </w:p>
    <w:p w14:paraId="79C0C026" w14:textId="77777777" w:rsidR="00E25567" w:rsidRDefault="0052535F">
      <w:pPr>
        <w:spacing w:after="80" w:line="264" w:lineRule="auto"/>
        <w:ind w:left="360" w:hanging="360"/>
      </w:pPr>
      <w:r>
        <w:rPr>
          <w:color w:val="8A9099"/>
        </w:rPr>
        <w:t xml:space="preserve">–  </w:t>
      </w:r>
      <w:r>
        <w:t>Any work carried out by the Client or a third party (for example a website designer), where the Consultant's role is limited to providing the specification and testing. The Consultant warrants the specification and the test report only.</w:t>
      </w:r>
    </w:p>
    <w:p w14:paraId="79C0C027" w14:textId="77777777" w:rsidR="00E25567" w:rsidRDefault="0052535F">
      <w:pPr>
        <w:spacing w:after="80" w:line="264" w:lineRule="auto"/>
        <w:ind w:left="360" w:hanging="360"/>
      </w:pPr>
      <w:r>
        <w:rPr>
          <w:color w:val="8A9099"/>
        </w:rPr>
        <w:t xml:space="preserve">–  </w:t>
      </w:r>
      <w:r>
        <w:t>Insufficient, expired or unassigned third-party licences and entitlements, exhausted usage credits, and lapsed, locked or expired service-account credentials.</w:t>
      </w:r>
    </w:p>
    <w:p w14:paraId="79C0C028" w14:textId="77777777" w:rsidR="00E25567" w:rsidRDefault="0052535F">
      <w:pPr>
        <w:spacing w:after="80" w:line="264" w:lineRule="auto"/>
        <w:ind w:left="360" w:hanging="360"/>
      </w:pPr>
      <w:r>
        <w:rPr>
          <w:color w:val="8A9099"/>
        </w:rPr>
        <w:t xml:space="preserve">–  </w:t>
      </w:r>
      <w:r>
        <w:t>Changes made by the Client or any third party, after Acceptance, to a flow, app, table, column, security role, security profile, tenant setting, conditional-access policy or data-loss-prevention policy.</w:t>
      </w:r>
    </w:p>
    <w:p w14:paraId="79C0C029" w14:textId="77777777" w:rsidR="00E25567" w:rsidRDefault="0052535F">
      <w:pPr>
        <w:spacing w:after="80" w:line="264" w:lineRule="auto"/>
        <w:ind w:left="360" w:hanging="360"/>
      </w:pPr>
      <w:r>
        <w:rPr>
          <w:color w:val="8A9099"/>
        </w:rPr>
        <w:t xml:space="preserve">–  </w:t>
      </w:r>
      <w:r>
        <w:t>Configuration values the Client is entitled to change. The Consultant warrants that the mechanism works, not the values the Client chooses.</w:t>
      </w:r>
    </w:p>
    <w:p w14:paraId="79C0C02A" w14:textId="77777777" w:rsidR="00E25567" w:rsidRDefault="0052535F">
      <w:pPr>
        <w:spacing w:after="80" w:line="264" w:lineRule="auto"/>
        <w:ind w:left="360" w:hanging="360"/>
      </w:pPr>
      <w:r>
        <w:rPr>
          <w:color w:val="8A9099"/>
        </w:rPr>
        <w:t xml:space="preserve">–  </w:t>
      </w:r>
      <w:r>
        <w:t>The accuracy, quality or completeness of data entered by users, and historical data not migrated under the Service Agreement.</w:t>
      </w:r>
    </w:p>
    <w:p w14:paraId="79C0C02B" w14:textId="77777777" w:rsidR="00E25567" w:rsidRDefault="0052535F">
      <w:pPr>
        <w:spacing w:after="80" w:line="264" w:lineRule="auto"/>
        <w:ind w:left="360" w:hanging="360"/>
      </w:pPr>
      <w:r>
        <w:rPr>
          <w:color w:val="8A9099"/>
        </w:rPr>
        <w:t xml:space="preserve">–  </w:t>
      </w:r>
      <w:r>
        <w:t>Use of a Deliverable for a purpose other than the one described in the Agreed Specification, or operation of it otherwise than in line with the operational runbooks identified in the Service Agreement.</w:t>
      </w:r>
    </w:p>
    <w:p w14:paraId="79C0C02C" w14:textId="77777777" w:rsidR="00E25567" w:rsidRDefault="0052535F">
      <w:pPr>
        <w:spacing w:after="80" w:line="264" w:lineRule="auto"/>
        <w:ind w:left="360" w:hanging="360"/>
      </w:pPr>
      <w:r>
        <w:rPr>
          <w:color w:val="8A9099"/>
        </w:rPr>
        <w:t xml:space="preserve">–  </w:t>
      </w:r>
      <w:r>
        <w:t>Anything excluded from scope or deferred to a later phase.</w:t>
      </w:r>
    </w:p>
    <w:p w14:paraId="79C0C02D" w14:textId="77777777" w:rsidR="00E25567" w:rsidRDefault="0052535F">
      <w:pPr>
        <w:spacing w:after="80" w:line="264" w:lineRule="auto"/>
        <w:ind w:left="360" w:hanging="360"/>
      </w:pPr>
      <w:r>
        <w:rPr>
          <w:color w:val="8A9099"/>
        </w:rPr>
        <w:t xml:space="preserve">–  </w:t>
      </w:r>
      <w:r>
        <w:t>Any failure first reported to the Consultant after the Warranty Period has expired.</w:t>
      </w:r>
    </w:p>
    <w:p w14:paraId="79C0C02E"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lastRenderedPageBreak/>
        <w:t>B9</w:t>
      </w:r>
      <w:r>
        <w:t xml:space="preserve">    </w:t>
      </w:r>
      <w:r w:rsidRPr="00254829">
        <w:rPr>
          <w:rFonts w:ascii="Avenir Medium" w:eastAsia="Avenir LT Pro" w:hAnsi="Avenir Medium" w:cs="Avenir LT Pro"/>
          <w:caps/>
          <w:color w:val="071B3A"/>
          <w:sz w:val="30"/>
          <w:szCs w:val="30"/>
        </w:rPr>
        <w:t>AI-Assisted Detection and Classification</w:t>
      </w:r>
    </w:p>
    <w:p w14:paraId="79C0C02F" w14:textId="77777777" w:rsidR="00E25567" w:rsidRDefault="0052535F">
      <w:pPr>
        <w:spacing w:after="120" w:line="264" w:lineRule="auto"/>
      </w:pPr>
      <w:r>
        <w:t>Where a Deliverable relies on AI-assisted detection, classification or extraction (for example anonymisation or scoring), detection is probabilistic. The Consultant warrants that the relevant flow operates as specified — it submits the input for detection, applies the configured confidence threshold, applies the agreed transformation, and routes low-confidence items to a review queue. The Consultant does not warrant that every relevant item will be detected or acted upon. Any human review step and field-lev</w:t>
      </w:r>
      <w:r>
        <w:t>el security are controls operated by the Client. The Client remains the data controller for personal data processed and remains responsible for its Data Protection Impact Assessment, its lawful basis for processing, and its disclosure decisions. Nothing in these Build Terms is a warranty, guarantee or indemnity in respect of data protection compliance or any personal data breach.</w:t>
      </w:r>
    </w:p>
    <w:p w14:paraId="79C0C030"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t>B10</w:t>
      </w:r>
      <w:r>
        <w:t xml:space="preserve">   </w:t>
      </w:r>
      <w:r w:rsidRPr="00254829">
        <w:rPr>
          <w:rFonts w:ascii="Avenir Medium" w:hAnsi="Avenir Medium"/>
        </w:rPr>
        <w:t xml:space="preserve"> </w:t>
      </w:r>
      <w:r w:rsidRPr="00254829">
        <w:rPr>
          <w:rFonts w:ascii="Avenir Medium" w:eastAsia="Avenir LT Pro" w:hAnsi="Avenir Medium" w:cs="Avenir LT Pro"/>
          <w:caps/>
          <w:color w:val="071B3A"/>
          <w:sz w:val="30"/>
          <w:szCs w:val="30"/>
        </w:rPr>
        <w:t>Conditions</w:t>
      </w:r>
    </w:p>
    <w:p w14:paraId="79C0C031" w14:textId="77777777" w:rsidR="00E25567" w:rsidRDefault="0052535F">
      <w:pPr>
        <w:spacing w:after="120" w:line="264" w:lineRule="auto"/>
      </w:pPr>
      <w:r>
        <w:t>The warranty applies only while the Client has paid all invoices then due, maintains the licences, entitlements and credentials the solution needs, has accepted the operational runbooks identified in the Service Agreement, gives the Consultant reasonable access to the relevant environments and to someone who can reproduce the reported issue, and has not altered the Deliverables other than as clause B8 permits.</w:t>
      </w:r>
    </w:p>
    <w:p w14:paraId="79C0C032" w14:textId="77777777" w:rsidR="00E25567" w:rsidRPr="00254829" w:rsidRDefault="0052535F">
      <w:pPr>
        <w:pBdr>
          <w:top w:val="single" w:sz="6" w:space="8" w:color="D9DDE3"/>
        </w:pBdr>
        <w:spacing w:before="420" w:after="220"/>
        <w:rPr>
          <w:rFonts w:ascii="Avenir Medium" w:hAnsi="Avenir Medium"/>
        </w:rPr>
      </w:pPr>
      <w:r>
        <w:rPr>
          <w:rFonts w:ascii="Avenir LT Pro" w:eastAsia="Avenir LT Pro" w:hAnsi="Avenir LT Pro" w:cs="Avenir LT Pro"/>
          <w:b/>
          <w:bCs/>
          <w:color w:val="C9A15B"/>
          <w:spacing w:val="14"/>
          <w:sz w:val="22"/>
          <w:szCs w:val="22"/>
        </w:rPr>
        <w:t>B11</w:t>
      </w:r>
      <w:r>
        <w:t xml:space="preserve">    </w:t>
      </w:r>
      <w:r w:rsidRPr="00254829">
        <w:rPr>
          <w:rFonts w:ascii="Avenir Medium" w:eastAsia="Avenir LT Pro" w:hAnsi="Avenir Medium" w:cs="Avenir LT Pro"/>
          <w:caps/>
          <w:color w:val="071B3A"/>
          <w:sz w:val="30"/>
          <w:szCs w:val="30"/>
        </w:rPr>
        <w:t>Limitation of Liability for Build Services</w:t>
      </w:r>
    </w:p>
    <w:p w14:paraId="79C0C033" w14:textId="77777777" w:rsidR="00E25567" w:rsidRDefault="0052535F">
      <w:pPr>
        <w:spacing w:after="120" w:line="264" w:lineRule="auto"/>
      </w:pPr>
      <w:r>
        <w:t>These limits apply to Build Services in place of clause 7.2 of the General Terms; clauses 7.1, 7.3, 7.4 and 7.5 of the General Terms continue to apply. The Consultant's total aggregate liability for Defects in any one phase does not exceed the Fees paid for that phase, and the Consultant's total aggregate liability for Build Services under a Service Agreement does not exceed the total Fees paid by the Client under it. The Consultant is not liable for indirect or consequential loss (gevolgschade), loss of pr</w:t>
      </w:r>
      <w:r>
        <w:t>ofit or income, loss of goodwill or reputation, wasted management time, regulatory fines or penalties, or loss or corruption of data beyond the cost of restoring it from the Client's own backups. Nothing excludes or limits liability for fraud, for intent or wilful recklessness (opzet of bewuste roekeloosheid), for death or personal injury caused by negligence, or for any other liability that cannot lawfully be excluded.</w:t>
      </w:r>
    </w:p>
    <w:p w14:paraId="79C0C034" w14:textId="77777777" w:rsidR="00E25567" w:rsidRDefault="0052535F">
      <w:pPr>
        <w:pBdr>
          <w:top w:val="single" w:sz="6" w:space="8" w:color="D9DDE3"/>
        </w:pBdr>
        <w:spacing w:before="420" w:after="220"/>
      </w:pPr>
      <w:r>
        <w:rPr>
          <w:rFonts w:ascii="Avenir LT Pro" w:eastAsia="Avenir LT Pro" w:hAnsi="Avenir LT Pro" w:cs="Avenir LT Pro"/>
          <w:b/>
          <w:bCs/>
          <w:color w:val="C9A15B"/>
          <w:spacing w:val="14"/>
          <w:sz w:val="22"/>
          <w:szCs w:val="22"/>
        </w:rPr>
        <w:t>B12</w:t>
      </w:r>
      <w:r>
        <w:t xml:space="preserve">    </w:t>
      </w:r>
      <w:r w:rsidRPr="00254829">
        <w:rPr>
          <w:rFonts w:ascii="Avenir Medium" w:eastAsia="Avenir LT Pro" w:hAnsi="Avenir Medium" w:cs="Avenir LT Pro"/>
          <w:caps/>
          <w:color w:val="071B3A"/>
          <w:sz w:val="30"/>
          <w:szCs w:val="30"/>
        </w:rPr>
        <w:t>No Other Warranties</w:t>
      </w:r>
    </w:p>
    <w:p w14:paraId="79C0C035" w14:textId="77777777" w:rsidR="00E25567" w:rsidRDefault="0052535F">
      <w:pPr>
        <w:spacing w:after="120" w:line="264" w:lineRule="auto"/>
      </w:pPr>
      <w:r>
        <w:t>To the fullest extent the law permits, these Build Terms state the only warranties the Consultant gives for Build Services and replace all other warranties, conditions and terms implied by statute, common law or otherwise, including any implied term as to satisfactory quality or fitness for a particular purpose. Clause B2 is unaffected.</w:t>
      </w:r>
    </w:p>
    <w:p w14:paraId="79C0C036" w14:textId="77777777" w:rsidR="00E25567" w:rsidRPr="00254829" w:rsidRDefault="0052535F" w:rsidP="00254829">
      <w:pPr>
        <w:pStyle w:val="Heading1"/>
      </w:pPr>
      <w:r w:rsidRPr="00254829">
        <w:t xml:space="preserve">B13    </w:t>
      </w:r>
      <w:r w:rsidRPr="00254829">
        <w:rPr>
          <w:rFonts w:ascii="Avenir Medium" w:hAnsi="Avenir Medium"/>
          <w:b w:val="0"/>
          <w:bCs w:val="0"/>
          <w:color w:val="071A39"/>
          <w:sz w:val="32"/>
          <w:szCs w:val="32"/>
        </w:rPr>
        <w:t>After the Warranty Period</w:t>
      </w:r>
    </w:p>
    <w:p w14:paraId="79C0C037" w14:textId="77777777" w:rsidR="00E25567" w:rsidRDefault="0052535F">
      <w:pPr>
        <w:spacing w:after="120" w:line="264" w:lineRule="auto"/>
      </w:pPr>
      <w:r>
        <w:t>O</w:t>
      </w:r>
      <w:r>
        <w:t>nce the Warranty Period for a Deliverable has expired, the Consultant corrects faults in it on a time-and-materials basis at the Consultant's rate then in force, or under a separate support agreement if the parties enter into one.</w:t>
      </w:r>
    </w:p>
    <w:p w14:paraId="79C0C038" w14:textId="77777777" w:rsidR="00E25567" w:rsidRDefault="0052535F">
      <w:pPr>
        <w:pBdr>
          <w:top w:val="single" w:sz="4" w:space="8" w:color="D9DDE3"/>
        </w:pBdr>
        <w:spacing w:before="360"/>
      </w:pPr>
      <w:r>
        <w:rPr>
          <w:color w:val="8A9099"/>
          <w:sz w:val="16"/>
          <w:szCs w:val="16"/>
        </w:rPr>
        <w:t>© 2026 Argelis Consultancy. All rights reserved.  ·  Bridging ambition and technology</w:t>
      </w:r>
    </w:p>
    <w:sectPr w:rsidR="00E25567">
      <w:headerReference w:type="default" r:id="rId11"/>
      <w:footerReference w:type="default" r:id="rId12"/>
      <w:headerReference w:type="first" r:id="rId13"/>
      <w:footerReference w:type="first" r:id="rId14"/>
      <w:pgSz w:w="11906" w:h="16838"/>
      <w:pgMar w:top="1080" w:right="1008" w:bottom="1080" w:left="1008"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FCEE7E" w14:textId="77777777" w:rsidR="0052535F" w:rsidRDefault="0052535F">
      <w:r>
        <w:separator/>
      </w:r>
    </w:p>
  </w:endnote>
  <w:endnote w:type="continuationSeparator" w:id="0">
    <w:p w14:paraId="570796B4" w14:textId="77777777" w:rsidR="0052535F" w:rsidRDefault="00525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altName w:val="Cambria"/>
    <w:panose1 w:val="020B0604020202020204"/>
    <w:charset w:val="00"/>
    <w:family w:val="roman"/>
    <w:notTrueType/>
    <w:pitch w:val="default"/>
  </w:font>
  <w:font w:name="Avenir LT Pro">
    <w:altName w:val="Cambria"/>
    <w:panose1 w:val="020B0503020203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venir Medium">
    <w:panose1 w:val="02000603020000020003"/>
    <w:charset w:val="00"/>
    <w:family w:val="auto"/>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C0C03C" w14:textId="103F0058" w:rsidR="00E25567" w:rsidRDefault="0052535F">
    <w:pPr>
      <w:pBdr>
        <w:top w:val="single" w:sz="4" w:space="4" w:color="D9DDE3"/>
      </w:pBdr>
      <w:tabs>
        <w:tab w:val="right" w:pos="9890"/>
      </w:tabs>
    </w:pPr>
    <w:r>
      <w:rPr>
        <w:color w:val="8A9099"/>
        <w:sz w:val="15"/>
        <w:szCs w:val="15"/>
      </w:rPr>
      <w:t>Argelis Consultancy — Terms &amp; Conditions Build &amp; Implementation Services v1.0</w:t>
    </w:r>
    <w:r>
      <w:tab/>
    </w:r>
    <w:r>
      <w:rPr>
        <w:color w:val="8A9099"/>
        <w:sz w:val="15"/>
        <w:szCs w:val="15"/>
      </w:rPr>
      <w:t xml:space="preserve">Page </w:t>
    </w:r>
    <w:r>
      <w:rPr>
        <w:color w:val="8A9099"/>
        <w:sz w:val="15"/>
        <w:szCs w:val="15"/>
      </w:rPr>
      <w:fldChar w:fldCharType="begin"/>
    </w:r>
    <w:r>
      <w:rPr>
        <w:color w:val="8A9099"/>
        <w:sz w:val="15"/>
        <w:szCs w:val="15"/>
      </w:rPr>
      <w:instrText>PAGE</w:instrText>
    </w:r>
    <w:r>
      <w:rPr>
        <w:color w:val="8A9099"/>
        <w:sz w:val="15"/>
        <w:szCs w:val="15"/>
      </w:rPr>
      <w:fldChar w:fldCharType="separate"/>
    </w:r>
    <w:r w:rsidR="00254829">
      <w:rPr>
        <w:noProof/>
        <w:color w:val="8A9099"/>
        <w:sz w:val="15"/>
        <w:szCs w:val="15"/>
      </w:rPr>
      <w:t>2</w:t>
    </w:r>
    <w:r>
      <w:rPr>
        <w:color w:val="8A9099"/>
        <w:sz w:val="15"/>
        <w:szCs w:val="15"/>
      </w:rPr>
      <w:fldChar w:fldCharType="end"/>
    </w:r>
    <w:r>
      <w:rPr>
        <w:color w:val="8A9099"/>
        <w:sz w:val="15"/>
        <w:szCs w:val="15"/>
      </w:rPr>
      <w:t xml:space="preserve"> of </w:t>
    </w:r>
    <w:r>
      <w:rPr>
        <w:color w:val="8A9099"/>
        <w:sz w:val="15"/>
        <w:szCs w:val="15"/>
      </w:rPr>
      <w:fldChar w:fldCharType="begin"/>
    </w:r>
    <w:r>
      <w:rPr>
        <w:color w:val="8A9099"/>
        <w:sz w:val="15"/>
        <w:szCs w:val="15"/>
      </w:rPr>
      <w:instrText>NUMPAGES</w:instrText>
    </w:r>
    <w:r>
      <w:rPr>
        <w:color w:val="8A9099"/>
        <w:sz w:val="15"/>
        <w:szCs w:val="15"/>
      </w:rPr>
      <w:fldChar w:fldCharType="separate"/>
    </w:r>
    <w:r w:rsidR="00254829">
      <w:rPr>
        <w:noProof/>
        <w:color w:val="8A9099"/>
        <w:sz w:val="15"/>
        <w:szCs w:val="15"/>
      </w:rPr>
      <w:t>3</w:t>
    </w:r>
    <w:r>
      <w:rPr>
        <w:color w:val="8A9099"/>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C0C03E" w14:textId="77777777" w:rsidR="00E25567" w:rsidRDefault="00E255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4F4417" w14:textId="77777777" w:rsidR="0052535F" w:rsidRDefault="0052535F">
      <w:r>
        <w:separator/>
      </w:r>
    </w:p>
  </w:footnote>
  <w:footnote w:type="continuationSeparator" w:id="0">
    <w:p w14:paraId="63828BD7" w14:textId="77777777" w:rsidR="0052535F" w:rsidRDefault="00525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C0C03B" w14:textId="77777777" w:rsidR="00E25567" w:rsidRDefault="0052535F">
    <w:pPr>
      <w:pBdr>
        <w:bottom w:val="single" w:sz="4" w:space="4" w:color="D9DDE3"/>
      </w:pBdr>
      <w:tabs>
        <w:tab w:val="right" w:pos="9890"/>
      </w:tabs>
    </w:pPr>
    <w:r>
      <w:rPr>
        <w:b/>
        <w:bCs/>
        <w:caps/>
        <w:color w:val="071B3A"/>
        <w:spacing w:val="12"/>
        <w:sz w:val="15"/>
        <w:szCs w:val="15"/>
      </w:rPr>
      <w:t>Terms &amp; Conditions · Build &amp; Implementation</w:t>
    </w:r>
    <w:r>
      <w:tab/>
    </w:r>
    <w:r>
      <w:rPr>
        <w:b/>
        <w:bCs/>
        <w:caps/>
        <w:color w:val="C9A15B"/>
        <w:spacing w:val="12"/>
        <w:sz w:val="15"/>
        <w:szCs w:val="15"/>
      </w:rPr>
      <w:t>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C0C03D" w14:textId="77777777" w:rsidR="00E25567" w:rsidRDefault="00E255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92164E"/>
    <w:multiLevelType w:val="hybridMultilevel"/>
    <w:tmpl w:val="AEA0B4F6"/>
    <w:lvl w:ilvl="0" w:tplc="D1181358">
      <w:start w:val="1"/>
      <w:numFmt w:val="bullet"/>
      <w:lvlText w:val="●"/>
      <w:lvlJc w:val="left"/>
      <w:pPr>
        <w:ind w:left="720" w:hanging="360"/>
      </w:pPr>
    </w:lvl>
    <w:lvl w:ilvl="1" w:tplc="6238691C">
      <w:start w:val="1"/>
      <w:numFmt w:val="bullet"/>
      <w:lvlText w:val="○"/>
      <w:lvlJc w:val="left"/>
      <w:pPr>
        <w:ind w:left="1440" w:hanging="360"/>
      </w:pPr>
    </w:lvl>
    <w:lvl w:ilvl="2" w:tplc="E62A7360">
      <w:start w:val="1"/>
      <w:numFmt w:val="bullet"/>
      <w:lvlText w:val="■"/>
      <w:lvlJc w:val="left"/>
      <w:pPr>
        <w:ind w:left="2160" w:hanging="360"/>
      </w:pPr>
    </w:lvl>
    <w:lvl w:ilvl="3" w:tplc="989AF6CC">
      <w:start w:val="1"/>
      <w:numFmt w:val="bullet"/>
      <w:lvlText w:val="●"/>
      <w:lvlJc w:val="left"/>
      <w:pPr>
        <w:ind w:left="2880" w:hanging="360"/>
      </w:pPr>
    </w:lvl>
    <w:lvl w:ilvl="4" w:tplc="972AA328">
      <w:start w:val="1"/>
      <w:numFmt w:val="bullet"/>
      <w:lvlText w:val="○"/>
      <w:lvlJc w:val="left"/>
      <w:pPr>
        <w:ind w:left="3600" w:hanging="360"/>
      </w:pPr>
    </w:lvl>
    <w:lvl w:ilvl="5" w:tplc="AB52E894">
      <w:start w:val="1"/>
      <w:numFmt w:val="bullet"/>
      <w:lvlText w:val="■"/>
      <w:lvlJc w:val="left"/>
      <w:pPr>
        <w:ind w:left="4320" w:hanging="360"/>
      </w:pPr>
    </w:lvl>
    <w:lvl w:ilvl="6" w:tplc="F9D4F7FE">
      <w:start w:val="1"/>
      <w:numFmt w:val="bullet"/>
      <w:lvlText w:val="●"/>
      <w:lvlJc w:val="left"/>
      <w:pPr>
        <w:ind w:left="5040" w:hanging="360"/>
      </w:pPr>
    </w:lvl>
    <w:lvl w:ilvl="7" w:tplc="4C189E5A">
      <w:start w:val="1"/>
      <w:numFmt w:val="bullet"/>
      <w:lvlText w:val="●"/>
      <w:lvlJc w:val="left"/>
      <w:pPr>
        <w:ind w:left="5760" w:hanging="360"/>
      </w:pPr>
    </w:lvl>
    <w:lvl w:ilvl="8" w:tplc="54FE0B18">
      <w:start w:val="1"/>
      <w:numFmt w:val="bullet"/>
      <w:lvlText w:val="●"/>
      <w:lvlJc w:val="left"/>
      <w:pPr>
        <w:ind w:left="6480" w:hanging="360"/>
      </w:pPr>
    </w:lvl>
  </w:abstractNum>
  <w:num w:numId="1" w16cid:durableId="1681055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567"/>
    <w:rsid w:val="00254829"/>
    <w:rsid w:val="003E6631"/>
    <w:rsid w:val="0052535F"/>
    <w:rsid w:val="00E2556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9C0C004"/>
  <w15:docId w15:val="{E00909CA-DE35-7A41-ACCE-B29110407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color w:val="1A1A1A"/>
        <w:sz w:val="21"/>
        <w:szCs w:val="21"/>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254829"/>
    <w:pPr>
      <w:pBdr>
        <w:top w:val="single" w:sz="6" w:space="8" w:color="D9DDE3"/>
      </w:pBdr>
      <w:spacing w:before="420" w:after="220"/>
      <w:outlineLvl w:val="0"/>
    </w:pPr>
    <w:rPr>
      <w:rFonts w:ascii="Avenir LT Pro" w:eastAsia="Avenir LT Pro" w:hAnsi="Avenir LT Pro" w:cs="Avenir LT Pro"/>
      <w:b/>
      <w:bCs/>
      <w:color w:val="C9A15B"/>
      <w:spacing w:val="14"/>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8f5036-0c97-4fb2-9995-e6511ad4535b">
      <Terms xmlns="http://schemas.microsoft.com/office/infopath/2007/PartnerControls"/>
    </lcf76f155ced4ddcb4097134ff3c332f>
    <TaxCatchAll xmlns="d3a2e4d4-5189-48ac-a210-e1294fbd99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9" ma:contentTypeDescription="Create a new document." ma:contentTypeScope="" ma:versionID="ae75f7d6110eb3c01e30b5864ecce8d9">
  <xsd:schema xmlns:xsd="http://www.w3.org/2001/XMLSchema" xmlns:xs="http://www.w3.org/2001/XMLSchema" xmlns:p="http://schemas.microsoft.com/office/2006/metadata/properties" xmlns:ns2="f28f5036-0c97-4fb2-9995-e6511ad4535b" xmlns:ns3="d3a2e4d4-5189-48ac-a210-e1294fbd99f3" targetNamespace="http://schemas.microsoft.com/office/2006/metadata/properties" ma:root="true" ma:fieldsID="5f758225586994ab2ed7147b7dc97d7e" ns2:_="" ns3:_="">
    <xsd:import namespace="f28f5036-0c97-4fb2-9995-e6511ad4535b"/>
    <xsd:import namespace="d3a2e4d4-5189-48ac-a210-e1294fbd99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edfda32-ed56-4dd9-bd64-14fdcb8b12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a2e4d4-5189-48ac-a210-e1294fbd99f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9b44fd-1af0-4c99-971b-3abc3e199a55}" ma:internalName="TaxCatchAll" ma:showField="CatchAllData" ma:web="d3a2e4d4-5189-48ac-a210-e1294fbd9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CF2317-0E72-4694-BE06-A0F89B56D380}">
  <ds:schemaRefs>
    <ds:schemaRef ds:uri="http://schemas.microsoft.com/office/2006/metadata/properties"/>
    <ds:schemaRef ds:uri="http://schemas.microsoft.com/office/infopath/2007/PartnerControls"/>
    <ds:schemaRef ds:uri="2210b86c-e909-4249-92de-ec00d408f99c"/>
    <ds:schemaRef ds:uri="14ce63aa-fd37-4709-bd1a-197724d442bc"/>
  </ds:schemaRefs>
</ds:datastoreItem>
</file>

<file path=customXml/itemProps2.xml><?xml version="1.0" encoding="utf-8"?>
<ds:datastoreItem xmlns:ds="http://schemas.openxmlformats.org/officeDocument/2006/customXml" ds:itemID="{7EA905C5-C268-4044-AA5C-BD256A52BB1C}">
  <ds:schemaRefs>
    <ds:schemaRef ds:uri="http://schemas.microsoft.com/sharepoint/v3/contenttype/forms"/>
  </ds:schemaRefs>
</ds:datastoreItem>
</file>

<file path=customXml/itemProps3.xml><?xml version="1.0" encoding="utf-8"?>
<ds:datastoreItem xmlns:ds="http://schemas.openxmlformats.org/officeDocument/2006/customXml" ds:itemID="{F838412C-568F-483D-9E55-5B05C1C3B7EA}"/>
</file>

<file path=docProps/app.xml><?xml version="1.0" encoding="utf-8"?>
<Properties xmlns="http://schemas.openxmlformats.org/officeDocument/2006/extended-properties" xmlns:vt="http://schemas.openxmlformats.org/officeDocument/2006/docPropsVTypes">
  <Template>Normal.dotm</Template>
  <TotalTime>0</TotalTime>
  <Pages>4</Pages>
  <Words>1346</Words>
  <Characters>7673</Characters>
  <Application>Microsoft Office Word</Application>
  <DocSecurity>0</DocSecurity>
  <Lines>63</Lines>
  <Paragraphs>18</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Xander Lykopoulos</cp:lastModifiedBy>
  <cp:revision>2</cp:revision>
  <cp:lastPrinted>2026-08-09T10:59:00Z</cp:lastPrinted>
  <dcterms:created xsi:type="dcterms:W3CDTF">2026-08-09T10:59:00Z</dcterms:created>
  <dcterms:modified xsi:type="dcterms:W3CDTF">2026-08-09T10:59:00Z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ies>
</file>