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ontserrat" w:cs="Montserrat" w:eastAsia="Montserrat" w:hAnsi="Montserrat"/>
          <w:b/>
          <w:bCs/>
          <w:color w:val="05132A"/>
          <w:spacing w:val="40"/>
          <w:sz w:val="18"/>
          <w:szCs w:val="18"/>
        </w:rPr>
        <w:t xml:space="preserve">ARGELIS CONSULTANCY</w:t>
      </w:r>
    </w:p>
    <w:p>
      <w:pPr>
        <w:pBdr>
          <w:bottom w:val="single" w:color="C99A52" w:sz="12" w:space="8"/>
        </w:pBdr>
        <w:spacing w:after="60"/>
      </w:pPr>
      <w:r>
        <w:rPr>
          <w:rFonts w:ascii="Montserrat" w:cs="Montserrat" w:eastAsia="Montserrat" w:hAnsi="Montserrat"/>
          <w:b/>
          <w:bCs/>
          <w:color w:val="05132A"/>
          <w:sz w:val="52"/>
          <w:szCs w:val="52"/>
        </w:rPr>
        <w:t xml:space="preserve">Data Protection Impact Assessment</w:t>
      </w:r>
    </w:p>
    <w:p>
      <w:pPr>
        <w:spacing w:after="260" w:before="120"/>
      </w:pPr>
      <w:r>
        <w:rPr>
          <w:rFonts w:ascii="Inter" w:cs="Inter" w:eastAsia="Inter" w:hAnsi="Inter"/>
          <w:i/>
          <w:iCs/>
          <w:color w:val="8A9099"/>
          <w:sz w:val="22"/>
          <w:szCs w:val="22"/>
        </w:rPr>
        <w:t xml:space="preserve">Grant Application Automation — screening the risks in processing special-category health data through the Dataverse grant solution.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CLIENT</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Revitalise</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PREPARED BY</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Xander Lykopoulos — Argelis Consultancy</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DELIVERABLE</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Data Protection Impact Assessment (WBS 0.7)</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VERSION</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v0.1 — Concept draft</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DATE</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15 July 2026</w:t>
            </w:r>
          </w:p>
        </w:tc>
      </w:tr>
      <w:tr>
        <w:tc>
          <w:tcPr>
            <w:tcW w:type="dxa" w:w="2600"/>
            <w:tcBorders>
              <w:top w:val="single" w:color="05132A" w:sz="4"/>
              <w:left w:val="single" w:color="05132A" w:sz="4"/>
              <w:bottom w:val="single" w:color="05132A" w:sz="4"/>
              <w:right w:val="single" w:color="C99A52" w:sz="4"/>
            </w:tcBorders>
            <w:shd w:fill="05132A" w:val="clear"/>
            <w:tcMar>
              <w:top w:type="dxa" w:w="90"/>
              <w:left w:type="dxa" w:w="160"/>
              <w:bottom w:type="dxa" w:w="90"/>
              <w:right w:type="dxa" w:w="120"/>
            </w:tcMar>
          </w:tcPr>
          <w:p>
            <w:r>
              <w:rPr>
                <w:rFonts w:ascii="Montserrat" w:cs="Montserrat" w:eastAsia="Montserrat" w:hAnsi="Montserrat"/>
                <w:b/>
                <w:bCs/>
                <w:color w:val="C99A52"/>
                <w:spacing w:val="16"/>
                <w:sz w:val="16"/>
                <w:szCs w:val="16"/>
              </w:rPr>
              <w:t xml:space="preserve">STATUS</w:t>
            </w:r>
          </w:p>
        </w:tc>
        <w:tc>
          <w:tcPr>
            <w:tcW w:type="dxa" w:w="6760"/>
            <w:tcBorders>
              <w:top w:val="single" w:color="05132A" w:sz="4"/>
              <w:left w:val="none" w:color="FFFFFF" w:sz="0"/>
              <w:bottom w:val="single" w:color="05132A" w:sz="4"/>
              <w:right w:val="single" w:color="05132A" w:sz="4"/>
            </w:tcBorders>
            <w:shd w:fill="05132A" w:val="clear"/>
            <w:tcMar>
              <w:top w:type="dxa" w:w="90"/>
              <w:left w:type="dxa" w:w="160"/>
              <w:bottom w:type="dxa" w:w="90"/>
              <w:right w:type="dxa" w:w="120"/>
            </w:tcMar>
          </w:tcPr>
          <w:p>
            <w:r>
              <w:rPr>
                <w:rFonts w:ascii="Inter" w:cs="Inter" w:eastAsia="Inter" w:hAnsi="Inter"/>
                <w:color w:val="FFFFFF"/>
                <w:sz w:val="19"/>
                <w:szCs w:val="19"/>
              </w:rPr>
              <w:t xml:space="preserve">Concept — for DPO review</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C99A52" w:sz="24"/>
              <w:bottom w:val="none" w:color="FFFFFF" w:sz="0"/>
              <w:right w:val="none" w:color="FFFFFF" w:sz="0"/>
            </w:tcBorders>
            <w:shd w:fill="F7F5F2" w:val="clear"/>
            <w:tcMar>
              <w:top w:type="dxa" w:w="140"/>
              <w:left w:type="dxa" w:w="220"/>
              <w:bottom w:type="dxa" w:w="140"/>
              <w:right w:type="dxa" w:w="220"/>
            </w:tcMar>
          </w:tcPr>
          <w:p>
            <w:pPr>
              <w:spacing w:after="60"/>
            </w:pPr>
            <w:r>
              <w:rPr>
                <w:rFonts w:ascii="Montserrat" w:cs="Montserrat" w:eastAsia="Montserrat" w:hAnsi="Montserrat"/>
                <w:b/>
                <w:bCs/>
                <w:color w:val="C99A52"/>
                <w:spacing w:val="20"/>
                <w:sz w:val="17"/>
                <w:szCs w:val="17"/>
              </w:rPr>
              <w:t xml:space="preserve">IN PLAIN TERMS</w:t>
            </w:r>
          </w:p>
          <w:p>
            <w:pPr>
              <w:spacing w:after="0" w:line="276"/>
            </w:pPr>
            <w:r>
              <w:rPr>
                <w:rFonts w:ascii="Inter" w:cs="Inter" w:eastAsia="Inter" w:hAnsi="Inter"/>
                <w:color w:val="1A1A1A"/>
                <w:sz w:val="21"/>
                <w:szCs w:val="21"/>
              </w:rPr>
              <w:t xml:space="preserve">This assessment looks at what could go wrong for the people whose data the grant system holds — mainly the health details in an application — and shows the controls already built to prevent it. It is a concept draft: the processing description and risk register are filled in from the agreed design, and the points that need the DPO's decision are marked so they can be reviewed, adjusted and signed off.</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Contents</w:t>
      </w:r>
    </w:p>
    <w:p>
      <w:pPr>
        <w:spacing w:after="70"/>
      </w:pPr>
      <w:r>
        <w:rPr>
          <w:rFonts w:ascii="Montserrat" w:cs="Montserrat" w:eastAsia="Montserrat" w:hAnsi="Montserrat"/>
          <w:b/>
          <w:bCs/>
          <w:color w:val="C99A52"/>
          <w:sz w:val="20"/>
          <w:szCs w:val="20"/>
        </w:rPr>
        <w:t xml:space="preserve">1.  </w:t>
      </w:r>
      <w:r>
        <w:rPr>
          <w:rFonts w:ascii="Inter" w:cs="Inter" w:eastAsia="Inter" w:hAnsi="Inter"/>
          <w:color w:val="05132A"/>
          <w:sz w:val="21"/>
          <w:szCs w:val="21"/>
        </w:rPr>
        <w:t xml:space="preserve">Purpose and scope</w:t>
      </w:r>
    </w:p>
    <w:p>
      <w:pPr>
        <w:spacing w:after="70"/>
      </w:pPr>
      <w:r>
        <w:rPr>
          <w:rFonts w:ascii="Montserrat" w:cs="Montserrat" w:eastAsia="Montserrat" w:hAnsi="Montserrat"/>
          <w:b/>
          <w:bCs/>
          <w:color w:val="C99A52"/>
          <w:sz w:val="20"/>
          <w:szCs w:val="20"/>
        </w:rPr>
        <w:t xml:space="preserve">2.  </w:t>
      </w:r>
      <w:r>
        <w:rPr>
          <w:rFonts w:ascii="Inter" w:cs="Inter" w:eastAsia="Inter" w:hAnsi="Inter"/>
          <w:color w:val="05132A"/>
          <w:sz w:val="21"/>
          <w:szCs w:val="21"/>
        </w:rPr>
        <w:t xml:space="preserve">Description of the processing</w:t>
      </w:r>
    </w:p>
    <w:p>
      <w:pPr>
        <w:spacing w:after="70"/>
      </w:pPr>
      <w:r>
        <w:rPr>
          <w:rFonts w:ascii="Montserrat" w:cs="Montserrat" w:eastAsia="Montserrat" w:hAnsi="Montserrat"/>
          <w:b/>
          <w:bCs/>
          <w:color w:val="C99A52"/>
          <w:sz w:val="20"/>
          <w:szCs w:val="20"/>
        </w:rPr>
        <w:t xml:space="preserve">3.  </w:t>
      </w:r>
      <w:r>
        <w:rPr>
          <w:rFonts w:ascii="Inter" w:cs="Inter" w:eastAsia="Inter" w:hAnsi="Inter"/>
          <w:color w:val="05132A"/>
          <w:sz w:val="21"/>
          <w:szCs w:val="21"/>
        </w:rPr>
        <w:t xml:space="preserve">Consultation</w:t>
      </w:r>
    </w:p>
    <w:p>
      <w:pPr>
        <w:spacing w:after="70"/>
      </w:pPr>
      <w:r>
        <w:rPr>
          <w:rFonts w:ascii="Montserrat" w:cs="Montserrat" w:eastAsia="Montserrat" w:hAnsi="Montserrat"/>
          <w:b/>
          <w:bCs/>
          <w:color w:val="C99A52"/>
          <w:sz w:val="20"/>
          <w:szCs w:val="20"/>
        </w:rPr>
        <w:t xml:space="preserve">4.  </w:t>
      </w:r>
      <w:r>
        <w:rPr>
          <w:rFonts w:ascii="Inter" w:cs="Inter" w:eastAsia="Inter" w:hAnsi="Inter"/>
          <w:color w:val="05132A"/>
          <w:sz w:val="21"/>
          <w:szCs w:val="21"/>
        </w:rPr>
        <w:t xml:space="preserve">Necessity and proportionality</w:t>
      </w:r>
    </w:p>
    <w:p>
      <w:pPr>
        <w:spacing w:after="70"/>
      </w:pPr>
      <w:r>
        <w:rPr>
          <w:rFonts w:ascii="Montserrat" w:cs="Montserrat" w:eastAsia="Montserrat" w:hAnsi="Montserrat"/>
          <w:b/>
          <w:bCs/>
          <w:color w:val="C99A52"/>
          <w:sz w:val="20"/>
          <w:szCs w:val="20"/>
        </w:rPr>
        <w:t xml:space="preserve">5.  </w:t>
      </w:r>
      <w:r>
        <w:rPr>
          <w:rFonts w:ascii="Inter" w:cs="Inter" w:eastAsia="Inter" w:hAnsi="Inter"/>
          <w:color w:val="05132A"/>
          <w:sz w:val="21"/>
          <w:szCs w:val="21"/>
        </w:rPr>
        <w:t xml:space="preserve">Data flow, recipients and processors</w:t>
      </w:r>
    </w:p>
    <w:p>
      <w:pPr>
        <w:spacing w:after="70"/>
      </w:pPr>
      <w:r>
        <w:rPr>
          <w:rFonts w:ascii="Montserrat" w:cs="Montserrat" w:eastAsia="Montserrat" w:hAnsi="Montserrat"/>
          <w:b/>
          <w:bCs/>
          <w:color w:val="C99A52"/>
          <w:sz w:val="20"/>
          <w:szCs w:val="20"/>
        </w:rPr>
        <w:t xml:space="preserve">6.  </w:t>
      </w:r>
      <w:r>
        <w:rPr>
          <w:rFonts w:ascii="Inter" w:cs="Inter" w:eastAsia="Inter" w:hAnsi="Inter"/>
          <w:color w:val="05132A"/>
          <w:sz w:val="21"/>
          <w:szCs w:val="21"/>
        </w:rPr>
        <w:t xml:space="preserve">Risks to individuals</w:t>
      </w:r>
    </w:p>
    <w:p>
      <w:pPr>
        <w:spacing w:after="70"/>
      </w:pPr>
      <w:r>
        <w:rPr>
          <w:rFonts w:ascii="Montserrat" w:cs="Montserrat" w:eastAsia="Montserrat" w:hAnsi="Montserrat"/>
          <w:b/>
          <w:bCs/>
          <w:color w:val="C99A52"/>
          <w:sz w:val="20"/>
          <w:szCs w:val="20"/>
        </w:rPr>
        <w:t xml:space="preserve">7.  </w:t>
      </w:r>
      <w:r>
        <w:rPr>
          <w:rFonts w:ascii="Inter" w:cs="Inter" w:eastAsia="Inter" w:hAnsi="Inter"/>
          <w:color w:val="05132A"/>
          <w:sz w:val="21"/>
          <w:szCs w:val="21"/>
        </w:rPr>
        <w:t xml:space="preserve">Measures to reduce the risks</w:t>
      </w:r>
    </w:p>
    <w:p>
      <w:pPr>
        <w:spacing w:after="70"/>
      </w:pPr>
      <w:r>
        <w:rPr>
          <w:rFonts w:ascii="Montserrat" w:cs="Montserrat" w:eastAsia="Montserrat" w:hAnsi="Montserrat"/>
          <w:b/>
          <w:bCs/>
          <w:color w:val="C99A52"/>
          <w:sz w:val="20"/>
          <w:szCs w:val="20"/>
        </w:rPr>
        <w:t xml:space="preserve">8.  </w:t>
      </w:r>
      <w:r>
        <w:rPr>
          <w:rFonts w:ascii="Inter" w:cs="Inter" w:eastAsia="Inter" w:hAnsi="Inter"/>
          <w:color w:val="05132A"/>
          <w:sz w:val="21"/>
          <w:szCs w:val="21"/>
        </w:rPr>
        <w:t xml:space="preserve">Automated decision-making</w:t>
      </w:r>
    </w:p>
    <w:p>
      <w:pPr>
        <w:spacing w:after="70"/>
      </w:pPr>
      <w:r>
        <w:rPr>
          <w:rFonts w:ascii="Montserrat" w:cs="Montserrat" w:eastAsia="Montserrat" w:hAnsi="Montserrat"/>
          <w:b/>
          <w:bCs/>
          <w:color w:val="C99A52"/>
          <w:sz w:val="20"/>
          <w:szCs w:val="20"/>
        </w:rPr>
        <w:t xml:space="preserve">9.  </w:t>
      </w:r>
      <w:r>
        <w:rPr>
          <w:rFonts w:ascii="Inter" w:cs="Inter" w:eastAsia="Inter" w:hAnsi="Inter"/>
          <w:color w:val="05132A"/>
          <w:sz w:val="21"/>
          <w:szCs w:val="21"/>
        </w:rPr>
        <w:t xml:space="preserve">Outcome, actions and sign-off</w:t>
      </w:r>
    </w:p>
    <w:p>
      <w:pPr>
        <w:spacing w:after="70"/>
      </w:pPr>
      <w:r>
        <w:rPr>
          <w:rFonts w:ascii="Montserrat" w:cs="Montserrat" w:eastAsia="Montserrat" w:hAnsi="Montserrat"/>
          <w:b/>
          <w:bCs/>
          <w:color w:val="C99A52"/>
          <w:sz w:val="20"/>
          <w:szCs w:val="20"/>
        </w:rPr>
        <w:t xml:space="preserve">10.  </w:t>
      </w:r>
      <w:r>
        <w:rPr>
          <w:rFonts w:ascii="Inter" w:cs="Inter" w:eastAsia="Inter" w:hAnsi="Inter"/>
          <w:color w:val="05132A"/>
          <w:sz w:val="21"/>
          <w:szCs w:val="21"/>
        </w:rPr>
        <w:t xml:space="preserve">Dependencies and open items</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1.  Purpose and scope</w:t>
      </w:r>
    </w:p>
    <w:p>
      <w:pPr>
        <w:spacing w:after="160" w:line="276"/>
      </w:pPr>
      <w:r>
        <w:rPr>
          <w:rFonts w:ascii="Inter" w:cs="Inter" w:eastAsia="Inter" w:hAnsi="Inter"/>
          <w:color w:val="1A1A1A"/>
          <w:sz w:val="21"/>
          <w:szCs w:val="21"/>
        </w:rPr>
        <w:t xml:space="preserve">This is the Data Protection Impact Assessment for the Revitalise grant application automation, a WBS 0.7 artefact that sits alongside the Data Governance Framework (v0.2) and the Security Model (v0.1). A DPIA is required under UK GDPR Article 35 because the solution processes special-category health data about people in vulnerable circumstances, at scale, and uses automated processing to screen applications. Both conditions point to a likely high risk that must be assessed before go-live.</w:t>
      </w:r>
    </w:p>
    <w:p>
      <w:pPr>
        <w:spacing w:after="160" w:line="276"/>
      </w:pPr>
      <w:r>
        <w:rPr>
          <w:rFonts w:ascii="Inter" w:cs="Inter" w:eastAsia="Inter" w:hAnsi="Inter"/>
          <w:color w:val="1A1A1A"/>
          <w:sz w:val="21"/>
          <w:szCs w:val="21"/>
        </w:rPr>
        <w:t xml:space="preserve">The assessment describes the processing, tests whether it is necessary and proportionate, sets out the risks to the people whose data is held, and records the measures already designed to reduce those risks. It builds on the agreed data model (Grant Application Data Model v0.2) and does not restate it. It turns the design into a risk record the DPO can review and sign.</w:t>
      </w:r>
    </w:p>
    <w:p>
      <w:pPr>
        <w:spacing w:after="160" w:line="276"/>
      </w:pPr>
      <w:r>
        <w:rPr>
          <w:rFonts w:ascii="Inter" w:cs="Inter" w:eastAsia="Inter" w:hAnsi="Inter"/>
          <w:b/>
          <w:bCs/>
          <w:color w:val="1A1A1A"/>
          <w:sz w:val="21"/>
          <w:szCs w:val="21"/>
        </w:rPr>
        <w:t xml:space="preserve">This is a concept draft. </w:t>
      </w:r>
      <w:r>
        <w:rPr>
          <w:rFonts w:ascii="Inter" w:cs="Inter" w:eastAsia="Inter" w:hAnsi="Inter"/>
          <w:color w:val="1A1A1A"/>
          <w:sz w:val="21"/>
          <w:szCs w:val="21"/>
        </w:rPr>
        <w:t xml:space="preserve">It is prepared by Argelis as processor for Revitalise, the controller, to review and complete. It documents the technical and organisational design; it is not legal advice, and the final risk decisions rest with Revitalise and its DPO.</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2.  Description of the processing</w:t>
      </w:r>
    </w:p>
    <w:p>
      <w:pPr>
        <w:pStyle w:val="Heading2"/>
        <w:spacing w:after="100" w:before="220"/>
      </w:pPr>
      <w:r>
        <w:rPr>
          <w:rFonts w:ascii="Montserrat" w:cs="Montserrat" w:eastAsia="Montserrat" w:hAnsi="Montserrat"/>
          <w:b/>
          <w:bCs/>
          <w:color w:val="05132A"/>
          <w:sz w:val="24"/>
          <w:szCs w:val="24"/>
        </w:rPr>
        <w:t xml:space="preserve">2.1  Nature of the processing</w:t>
      </w:r>
    </w:p>
    <w:p>
      <w:pPr>
        <w:spacing w:after="160" w:line="276"/>
      </w:pPr>
      <w:r>
        <w:rPr>
          <w:rFonts w:ascii="Inter" w:cs="Inter" w:eastAsia="Inter" w:hAnsi="Inter"/>
          <w:color w:val="1A1A1A"/>
          <w:sz w:val="21"/>
          <w:szCs w:val="21"/>
        </w:rPr>
        <w:t xml:space="preserve">An applicant, or a helper acting for them, submits a grant application through a web form. The application lands in Dataverse, the system of record. A scoring flow calculates a circumstance score from the wellbeing answers and sets the application to auto-pass, borderline or auto-reject against a threshold the process owner controls. AI Builder redacts the free-text narrative so a trustee can weigh the case without seeing identifying detail. Trustees review eligible applications through a dedicated app that hides identity by field-level security, and record a verdict. Successful grants move to payment, recorded in QuickBooks; the applicant signs an acceptance through DocuSign, stored as a PDF in SharePoint. Records are deleted or anonymised automatically when their retention period ends.</w:t>
      </w:r>
    </w:p>
    <w:p>
      <w:pPr>
        <w:pStyle w:val="Heading2"/>
        <w:spacing w:after="100" w:before="220"/>
      </w:pPr>
      <w:r>
        <w:rPr>
          <w:rFonts w:ascii="Montserrat" w:cs="Montserrat" w:eastAsia="Montserrat" w:hAnsi="Montserrat"/>
          <w:b/>
          <w:bCs/>
          <w:color w:val="05132A"/>
          <w:sz w:val="24"/>
          <w:szCs w:val="24"/>
        </w:rPr>
        <w:t xml:space="preserve">2.2  Scope of the processing</w:t>
      </w:r>
    </w:p>
    <w:p>
      <w:pPr>
        <w:spacing w:after="160" w:line="276"/>
      </w:pPr>
      <w:r>
        <w:rPr>
          <w:rFonts w:ascii="Inter" w:cs="Inter" w:eastAsia="Inter" w:hAnsi="Inter"/>
          <w:color w:val="1A1A1A"/>
          <w:sz w:val="21"/>
          <w:szCs w:val="21"/>
        </w:rPr>
        <w:t xml:space="preserve">The categories of personal data, the people they concern, and the volume held:</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400"/>
        <w:gridCol w:w="4400"/>
        <w:gridCol w:w="2560"/>
      </w:tblGrid>
      <w:tr>
        <w:trPr>
          <w:tblHeader/>
        </w:trPr>
        <w:tc>
          <w:tcPr>
            <w:tcW w:type="dxa" w:w="24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Data subjects</w:t>
            </w:r>
          </w:p>
        </w:tc>
        <w:tc>
          <w:tcPr>
            <w:tcW w:type="dxa" w:w="44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Categories of personal data</w:t>
            </w:r>
          </w:p>
        </w:tc>
        <w:tc>
          <w:tcPr>
            <w:tcW w:type="dxa" w:w="25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Special category</w:t>
            </w:r>
          </w:p>
        </w:tc>
      </w:tr>
      <w:tr>
        <w:tc>
          <w:tcPr>
            <w:tcW w:type="dxa" w:w="2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Grant applicants</w:t>
            </w:r>
          </w:p>
        </w:tc>
        <w:tc>
          <w:tcPr>
            <w:tcW w:type="dxa" w:w="4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Name, address, email, phone, date of birth, bank details, wellbeing and financial answers, circumstance score, application narrative</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Health and disability condition, benefit status, and — where captured — ethnic group</w:t>
            </w:r>
          </w:p>
        </w:tc>
      </w:tr>
      <w:tr>
        <w:tc>
          <w:tcPr>
            <w:tcW w:type="dxa" w:w="2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Cared-for / support-recipient</w:t>
            </w:r>
          </w:p>
        </w:tc>
        <w:tc>
          <w:tcPr>
            <w:tcW w:type="dxa" w:w="4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Identity where given, condition profile</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Health and disability condition</w:t>
            </w:r>
          </w:p>
        </w:tc>
      </w:tr>
      <w:tr>
        <w:tc>
          <w:tcPr>
            <w:tcW w:type="dxa" w:w="2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Helpers acting for an applicant</w:t>
            </w:r>
          </w:p>
        </w:tc>
        <w:tc>
          <w:tcPr>
            <w:tcW w:type="dxa" w:w="4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Name, email, phone</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w:t>
            </w:r>
          </w:p>
        </w:tc>
      </w:tr>
      <w:tr>
        <w:tc>
          <w:tcPr>
            <w:tcW w:type="dxa" w:w="2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Referees, group members, emergency contacts</w:t>
            </w:r>
          </w:p>
        </w:tc>
        <w:tc>
          <w:tcPr>
            <w:tcW w:type="dxa" w:w="4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Name and contact details as captured with the application</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w:t>
            </w:r>
          </w:p>
        </w:tc>
      </w:tr>
      <w:tr>
        <w:tc>
          <w:tcPr>
            <w:tcW w:type="dxa" w:w="2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Trustees</w:t>
            </w:r>
          </w:p>
        </w:tc>
        <w:tc>
          <w:tcPr>
            <w:tcW w:type="dxa" w:w="4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Tenant account identity; verdict recorded on a review</w:t>
            </w:r>
          </w:p>
        </w:tc>
        <w:tc>
          <w:tcPr>
            <w:tcW w:type="dxa" w:w="2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w:t>
            </w:r>
          </w:p>
        </w:tc>
      </w:tr>
      <w:tr>
        <w:tc>
          <w:tcPr>
            <w:tcW w:type="dxa" w:w="2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Finance and admin staff</w:t>
            </w:r>
          </w:p>
        </w:tc>
        <w:tc>
          <w:tcPr>
            <w:tcW w:type="dxa" w:w="4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Tenant account identity; audit trail of actions</w:t>
            </w:r>
          </w:p>
        </w:tc>
        <w:tc>
          <w:tcPr>
            <w:tcW w:type="dxa" w:w="2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w:t>
            </w:r>
          </w:p>
        </w:tc>
      </w:tr>
    </w:tbl>
    <w:p>
      <w:pPr>
        <w:spacing w:after="160" w:line="276"/>
      </w:pPr>
      <w:r>
        <w:rPr>
          <w:rFonts w:ascii="Inter" w:cs="Inter" w:eastAsia="Inter" w:hAnsi="Inter"/>
          <w:b/>
          <w:bCs/>
          <w:color w:val="1A1A1A"/>
          <w:sz w:val="21"/>
          <w:szCs w:val="21"/>
        </w:rPr>
        <w:t xml:space="preserve">Volume and duration. </w:t>
      </w:r>
      <w:r>
        <w:rPr>
          <w:rFonts w:ascii="Inter" w:cs="Inter" w:eastAsia="Inter" w:hAnsi="Inter"/>
          <w:color w:val="1A1A1A"/>
          <w:sz w:val="21"/>
          <w:szCs w:val="21"/>
        </w:rPr>
        <w:t xml:space="preserve">The solution holds live grant records plus records inside their retention window — six years for successful grants, twelve months for unsuccessful, six months for withdrawn. </w:t>
      </w:r>
      <w:r>
        <w:rPr>
          <w:rFonts w:ascii="Inter" w:cs="Inter" w:eastAsia="Inter" w:hAnsi="Inter"/>
          <w:b/>
          <w:bCs/>
          <w:color w:val="9A6A18"/>
          <w:sz w:val="21"/>
          <w:szCs w:val="21"/>
        </w:rPr>
        <w:t xml:space="preserve">[TBC — confirm the expected number of applications per round and per year with Emily, so the scale of processing is on record.]</w:t>
      </w:r>
    </w:p>
    <w:p>
      <w:pPr>
        <w:pStyle w:val="Heading2"/>
        <w:spacing w:after="100" w:before="220"/>
      </w:pPr>
      <w:r>
        <w:rPr>
          <w:rFonts w:ascii="Montserrat" w:cs="Montserrat" w:eastAsia="Montserrat" w:hAnsi="Montserrat"/>
          <w:b/>
          <w:bCs/>
          <w:color w:val="05132A"/>
          <w:sz w:val="24"/>
          <w:szCs w:val="24"/>
        </w:rPr>
        <w:t xml:space="preserve">2.3  Context of the processing</w:t>
      </w:r>
    </w:p>
    <w:p>
      <w:pPr>
        <w:spacing w:after="160" w:line="276"/>
      </w:pPr>
      <w:r>
        <w:rPr>
          <w:rFonts w:ascii="Inter" w:cs="Inter" w:eastAsia="Inter" w:hAnsi="Inter"/>
          <w:color w:val="1A1A1A"/>
          <w:sz w:val="21"/>
          <w:szCs w:val="21"/>
        </w:rPr>
        <w:t xml:space="preserve">Revitalise is a charity awarding respite grants to unpaid carers and the people they care for. The individuals are, by definition, under strain, and the data describes health and financial hardship — data people expect to be handled with care. Applicants deal with the charity willingly and, in most cases, with the help of someone they trust. The processing is new: it replaces a manual, SharePoint-based process with a Dataverse solution and automated scoring, which is itself a reason a DPIA is warranted. Current UK law applies, including the Data (Use and Access) Act 2025, in force since 5 February 2026, which bears on the automated-decision position in Section 8.</w:t>
      </w:r>
    </w:p>
    <w:p>
      <w:pPr>
        <w:pStyle w:val="Heading2"/>
        <w:spacing w:after="100" w:before="220"/>
      </w:pPr>
      <w:r>
        <w:rPr>
          <w:rFonts w:ascii="Montserrat" w:cs="Montserrat" w:eastAsia="Montserrat" w:hAnsi="Montserrat"/>
          <w:b/>
          <w:bCs/>
          <w:color w:val="05132A"/>
          <w:sz w:val="24"/>
          <w:szCs w:val="24"/>
        </w:rPr>
        <w:t xml:space="preserve">2.4  Purposes of the processing</w:t>
      </w:r>
    </w:p>
    <w:p>
      <w:pPr>
        <w:spacing w:after="160" w:line="276"/>
      </w:pPr>
      <w:r>
        <w:rPr>
          <w:rFonts w:ascii="Inter" w:cs="Inter" w:eastAsia="Inter" w:hAnsi="Inter"/>
          <w:color w:val="1A1A1A"/>
          <w:sz w:val="21"/>
          <w:szCs w:val="21"/>
        </w:rPr>
        <w:t xml:space="preserve">To receive and assess grant applications fairly and consistently, decide which to fund, pay successful grants, meet the charity's financial-record and safeguarding duties, and report on outcomes using anonymised statistics. The special-category health data is processed only to assess eligibility and need, and to administer the grant.</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3.  Consultation</w:t>
      </w:r>
    </w:p>
    <w:p>
      <w:pPr>
        <w:spacing w:after="160" w:line="276"/>
      </w:pPr>
      <w:r>
        <w:rPr>
          <w:rFonts w:ascii="Inter" w:cs="Inter" w:eastAsia="Inter" w:hAnsi="Inter"/>
          <w:color w:val="1A1A1A"/>
          <w:sz w:val="21"/>
          <w:szCs w:val="21"/>
        </w:rPr>
        <w:t xml:space="preserve">The design was developed with the people accountable for the process and the data. This draft records who has been consulted and where a view is still needed:</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200"/>
        <w:gridCol w:w="3000"/>
        <w:gridCol w:w="4160"/>
      </w:tblGrid>
      <w:tr>
        <w:trPr>
          <w:tblHeader/>
        </w:trPr>
        <w:tc>
          <w:tcPr>
            <w:tcW w:type="dxa" w:w="22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Who</w:t>
            </w:r>
          </w:p>
        </w:tc>
        <w:tc>
          <w:tcPr>
            <w:tcW w:type="dxa" w:w="30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Role</w:t>
            </w:r>
          </w:p>
        </w:tc>
        <w:tc>
          <w:tcPr>
            <w:tcW w:type="dxa" w:w="41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Consulted on</w:t>
            </w:r>
          </w:p>
        </w:tc>
      </w:tr>
      <w:tr>
        <w:tc>
          <w:tcPr>
            <w:tcW w:type="dxa" w:w="2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Data Protection Officer (DPO)</w:t>
            </w:r>
          </w:p>
        </w:tc>
        <w:tc>
          <w:tcPr>
            <w:tcW w:type="dxa" w:w="30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Revitalise</w:t>
            </w:r>
          </w:p>
        </w:tc>
        <w:tc>
          <w:tcPr>
            <w:tcW w:type="dxa" w:w="41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Reviews this DPIA and signs off the three open decisions in Section 9</w:t>
            </w:r>
          </w:p>
        </w:tc>
      </w:tr>
      <w:tr>
        <w:tc>
          <w:tcPr>
            <w:tcW w:type="dxa" w:w="22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Emily</w:t>
            </w:r>
          </w:p>
        </w:tc>
        <w:tc>
          <w:tcPr>
            <w:tcW w:type="dxa" w:w="30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 owner, Revitalise</w:t>
            </w:r>
          </w:p>
        </w:tc>
        <w:tc>
          <w:tcPr>
            <w:tcW w:type="dxa" w:w="41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The grant process, the scoring threshold, oversight of borderline and flagged cases</w:t>
            </w:r>
          </w:p>
        </w:tc>
      </w:tr>
      <w:tr>
        <w:tc>
          <w:tcPr>
            <w:tcW w:type="dxa" w:w="2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Xander Lykopoulos</w:t>
            </w:r>
          </w:p>
        </w:tc>
        <w:tc>
          <w:tcPr>
            <w:tcW w:type="dxa" w:w="30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Solution builder, Argelis (processor)</w:t>
            </w:r>
          </w:p>
        </w:tc>
        <w:tc>
          <w:tcPr>
            <w:tcW w:type="dxa" w:w="41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The technical design, controls and this assessment</w:t>
            </w:r>
          </w:p>
        </w:tc>
      </w:tr>
      <w:tr>
        <w:tc>
          <w:tcPr>
            <w:tcW w:type="dxa" w:w="22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Wanstor</w:t>
            </w:r>
          </w:p>
        </w:tc>
        <w:tc>
          <w:tcPr>
            <w:tcW w:type="dxa" w:w="30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IT provider, Revitalise</w:t>
            </w:r>
          </w:p>
        </w:tc>
        <w:tc>
          <w:tcPr>
            <w:tcW w:type="dxa" w:w="41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Identity, the service account and Conditional Access (WBS 0.3)</w:t>
            </w:r>
          </w:p>
        </w:tc>
      </w:tr>
      <w:tr>
        <w:tc>
          <w:tcPr>
            <w:tcW w:type="dxa" w:w="2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Trustees</w:t>
            </w:r>
          </w:p>
        </w:tc>
        <w:tc>
          <w:tcPr>
            <w:tcW w:type="dxa" w:w="30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Decision panel</w:t>
            </w:r>
          </w:p>
        </w:tc>
        <w:tc>
          <w:tcPr>
            <w:tcW w:type="dxa" w:w="41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Consulted on the review app and redacted case view </w:t>
            </w:r>
          </w:p>
          <w:p>
            <w:pPr>
              <w:spacing w:after="0" w:line="264"/>
            </w:pPr>
            <w:r>
              <w:rPr>
                <w:rFonts w:ascii="Inter" w:cs="Inter" w:eastAsia="Inter" w:hAnsi="Inter"/>
                <w:color w:val="1A1A1A"/>
                <w:sz w:val="19"/>
                <w:szCs w:val="19"/>
              </w:rPr>
              <w:t xml:space="preserve">[TBC — confirm]</w:t>
            </w:r>
          </w:p>
        </w:tc>
      </w:tr>
      <w:tr>
        <w:tc>
          <w:tcPr>
            <w:tcW w:type="dxa" w:w="22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Data subjects</w:t>
            </w:r>
          </w:p>
        </w:tc>
        <w:tc>
          <w:tcPr>
            <w:tcW w:type="dxa" w:w="30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Applicants and carers</w:t>
            </w:r>
          </w:p>
        </w:tc>
        <w:tc>
          <w:tcPr>
            <w:tcW w:type="dxa" w:w="41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Informed through Revitalise's Privacy Notice (updated 20 February 2026); no separate consultation planned</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4.  Necessity and proportionality</w:t>
      </w:r>
    </w:p>
    <w:p>
      <w:pPr>
        <w:spacing w:after="160" w:line="276"/>
      </w:pPr>
      <w:r>
        <w:rPr>
          <w:rFonts w:ascii="Inter" w:cs="Inter" w:eastAsia="Inter" w:hAnsi="Inter"/>
          <w:color w:val="1A1A1A"/>
          <w:sz w:val="21"/>
          <w:szCs w:val="21"/>
        </w:rPr>
        <w:t xml:space="preserve">The processing is necessary to run the grant scheme, and the design keeps it proportionate: each field is collected for a stated purpose, held only as long as the schedule allows, and readable only by the role that needs it. The lawful bases are Revitalise's own, taken from its Privacy Notice:</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700"/>
        <w:gridCol w:w="6660"/>
      </w:tblGrid>
      <w:tr>
        <w:trPr>
          <w:tblHeader/>
        </w:trPr>
        <w:tc>
          <w:tcPr>
            <w:tcW w:type="dxa" w:w="27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Test</w:t>
            </w:r>
          </w:p>
        </w:tc>
        <w:tc>
          <w:tcPr>
            <w:tcW w:type="dxa" w:w="66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Position</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Lawful basis (personal data)</w:t>
            </w:r>
          </w:p>
        </w:tc>
        <w:tc>
          <w:tcPr>
            <w:tcW w:type="dxa" w:w="6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UK GDPR Article 6 — processing necessary to assess and administer the grant</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Lawful basis (special category)</w:t>
            </w:r>
          </w:p>
        </w:tc>
        <w:tc>
          <w:tcPr>
            <w:tcW w:type="dxa" w:w="66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UK GDPR Article 9(2)(b) social protection, and 9(2)(h) health and social care, as set out in the Privacy Notice</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Data minimisation</w:t>
            </w:r>
          </w:p>
        </w:tc>
        <w:tc>
          <w:tcPr>
            <w:tcW w:type="dxa" w:w="6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Only fields needed to assess and pay a grant are collected; health free-text and disability data do not feed the automated score</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Purpose limitation</w:t>
            </w:r>
          </w:p>
        </w:tc>
        <w:tc>
          <w:tcPr>
            <w:tcW w:type="dxa" w:w="66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Data is used only to assess, decide, pay and report; anonymised statistics carry no identifiers and cannot be linked back</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Storage limitation</w:t>
            </w:r>
          </w:p>
        </w:tc>
        <w:tc>
          <w:tcPr>
            <w:tcW w:type="dxa" w:w="6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Retention runs automatically by status and date: 6 years for granted, 12 months for rejected, 6 months for withdrawn, then delete or anonymise</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Individual rights</w:t>
            </w:r>
          </w:p>
        </w:tc>
        <w:tc>
          <w:tcPr>
            <w:tcW w:type="dxa" w:w="66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Access, rectification and erasure supported; erasure cascades across Dataverse and reaches DocuSign, QuickBooks and the signed-PDF library, honouring legal-hold carve-outs</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International transfers</w:t>
            </w:r>
          </w:p>
        </w:tc>
        <w:tc>
          <w:tcPr>
            <w:tcW w:type="dxa" w:w="66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None. Processing, storage and backup are kept in the UK region across Power Platform, AI Builder, DocuSign and QuickBooks</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5.  Data flow, recipients and processors</w:t>
      </w:r>
    </w:p>
    <w:p>
      <w:pPr>
        <w:spacing w:after="160" w:line="276"/>
      </w:pPr>
      <w:r>
        <w:rPr>
          <w:rFonts w:ascii="Inter" w:cs="Inter" w:eastAsia="Inter" w:hAnsi="Inter"/>
          <w:color w:val="1A1A1A"/>
          <w:sz w:val="21"/>
          <w:szCs w:val="21"/>
        </w:rPr>
        <w:t xml:space="preserve">Data moves between a small set of named systems, each owned by the service account rather than a personal login. Everyone below acts under instruction and within the UK:</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700"/>
        <w:gridCol w:w="2200"/>
        <w:gridCol w:w="4460"/>
      </w:tblGrid>
      <w:tr>
        <w:trPr>
          <w:tblHeader/>
        </w:trPr>
        <w:tc>
          <w:tcPr>
            <w:tcW w:type="dxa" w:w="27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System / recipient</w:t>
            </w:r>
          </w:p>
        </w:tc>
        <w:tc>
          <w:tcPr>
            <w:tcW w:type="dxa" w:w="22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Role</w:t>
            </w:r>
          </w:p>
        </w:tc>
        <w:tc>
          <w:tcPr>
            <w:tcW w:type="dxa" w:w="44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What it holds</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Dataverse (Power Platform)</w:t>
            </w:r>
          </w:p>
        </w:tc>
        <w:tc>
          <w:tcPr>
            <w:tcW w:type="dxa" w:w="2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System of record</w:t>
            </w:r>
          </w:p>
        </w:tc>
        <w:tc>
          <w:tcPr>
            <w:tcW w:type="dxa" w:w="4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All seven tables and the anonymised snapshot</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AI Builder</w:t>
            </w:r>
          </w:p>
        </w:tc>
        <w:tc>
          <w:tcPr>
            <w:tcW w:type="dxa" w:w="22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Processor function</w:t>
            </w:r>
          </w:p>
        </w:tc>
        <w:tc>
          <w:tcPr>
            <w:tcW w:type="dxa" w:w="4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Redacts the free-text narrative; processes within the UK</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SharePoint document library</w:t>
            </w:r>
          </w:p>
        </w:tc>
        <w:tc>
          <w:tcPr>
            <w:tcW w:type="dxa" w:w="2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Storage</w:t>
            </w:r>
          </w:p>
        </w:tc>
        <w:tc>
          <w:tcPr>
            <w:tcW w:type="dxa" w:w="4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Signed acceptance PDFs, linked from the grant record</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DocuSign</w:t>
            </w:r>
          </w:p>
        </w:tc>
        <w:tc>
          <w:tcPr>
            <w:tcW w:type="dxa" w:w="22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Sub-processor</w:t>
            </w:r>
          </w:p>
        </w:tc>
        <w:tc>
          <w:tcPr>
            <w:tcW w:type="dxa" w:w="4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Signed acceptance envelopes; purge set to match retention</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QuickBooks Online</w:t>
            </w:r>
          </w:p>
        </w:tc>
        <w:tc>
          <w:tcPr>
            <w:tcW w:type="dxa" w:w="2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Sub-processor</w:t>
            </w:r>
          </w:p>
        </w:tc>
        <w:tc>
          <w:tcPr>
            <w:tcW w:type="dxa" w:w="4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Financial record — name, amount, date — under the finance-retention rule</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Wanstor</w:t>
            </w:r>
          </w:p>
        </w:tc>
        <w:tc>
          <w:tcPr>
            <w:tcW w:type="dxa" w:w="22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IT provider</w:t>
            </w:r>
          </w:p>
        </w:tc>
        <w:tc>
          <w:tcPr>
            <w:tcW w:type="dxa" w:w="4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Tenant identity, the service account and Conditional Access; no grant data access by design</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Argelis Consultancy</w:t>
            </w:r>
          </w:p>
        </w:tc>
        <w:tc>
          <w:tcPr>
            <w:tcW w:type="dxa" w:w="2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Processor</w:t>
            </w:r>
          </w:p>
        </w:tc>
        <w:tc>
          <w:tcPr>
            <w:tcW w:type="dxa" w:w="4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Builds and configures on Revitalise's instruction</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6.  Risks to individuals</w:t>
      </w:r>
    </w:p>
    <w:p>
      <w:pPr>
        <w:spacing w:after="160" w:line="276"/>
      </w:pPr>
      <w:r>
        <w:rPr>
          <w:rFonts w:ascii="Inter" w:cs="Inter" w:eastAsia="Inter" w:hAnsi="Inter"/>
          <w:color w:val="1A1A1A"/>
          <w:sz w:val="21"/>
          <w:szCs w:val="21"/>
        </w:rPr>
        <w:t xml:space="preserve">Each risk is scored for likelihood and severity before the designed controls are credited. Severity is judged from the harm to the individual, given that much of the data is special-category health data about people in difficulty. Section 7 sets the controls and the residual risk that remains once they are in place.</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500"/>
        <w:gridCol w:w="4360"/>
        <w:gridCol w:w="1500"/>
        <w:gridCol w:w="1400"/>
        <w:gridCol w:w="1600"/>
      </w:tblGrid>
      <w:tr>
        <w:trPr>
          <w:tblHeader/>
        </w:trPr>
        <w:tc>
          <w:tcPr>
            <w:tcW w:type="dxa" w:w="5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w:t>
            </w:r>
          </w:p>
        </w:tc>
        <w:tc>
          <w:tcPr>
            <w:tcW w:type="dxa" w:w="43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Risk to individuals</w:t>
            </w:r>
          </w:p>
        </w:tc>
        <w:tc>
          <w:tcPr>
            <w:tcW w:type="dxa" w:w="15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Likelihood</w:t>
            </w:r>
          </w:p>
        </w:tc>
        <w:tc>
          <w:tcPr>
            <w:tcW w:type="dxa" w:w="14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Severity</w:t>
            </w:r>
          </w:p>
        </w:tc>
        <w:tc>
          <w:tcPr>
            <w:tcW w:type="dxa" w:w="16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Inherent risk</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R1</w:t>
            </w:r>
          </w:p>
        </w:tc>
        <w:tc>
          <w:tcPr>
            <w:tcW w:type="dxa" w:w="4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 trustee identifies an applicant from data that should be redacted (field-level security gap or incomplete AI redaction)</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Possible</w:t>
            </w:r>
          </w:p>
        </w:tc>
        <w:tc>
          <w:tcPr>
            <w:tcW w:type="dxa" w:w="1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c>
          <w:tcPr>
            <w:tcW w:type="dxa" w:w="16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r>
      <w:tr>
        <w:tc>
          <w:tcPr>
            <w:tcW w:type="dxa" w:w="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R2</w:t>
            </w:r>
          </w:p>
        </w:tc>
        <w:tc>
          <w:tcPr>
            <w:tcW w:type="dxa" w:w="43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Special-category health data is exposed to someone without a need to see it (role misconfiguration)</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Possible</w:t>
            </w:r>
          </w:p>
        </w:tc>
        <w:tc>
          <w:tcPr>
            <w:tcW w:type="dxa" w:w="1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c>
          <w:tcPr>
            <w:tcW w:type="dxa" w:w="16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R3</w:t>
            </w:r>
          </w:p>
        </w:tc>
        <w:tc>
          <w:tcPr>
            <w:tcW w:type="dxa" w:w="4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An applicant is wrongly rejected by the automated score without meaningful human review</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Possible</w:t>
            </w:r>
          </w:p>
        </w:tc>
        <w:tc>
          <w:tcPr>
            <w:tcW w:type="dxa" w:w="1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c>
          <w:tcPr>
            <w:tcW w:type="dxa" w:w="16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r>
      <w:tr>
        <w:tc>
          <w:tcPr>
            <w:tcW w:type="dxa" w:w="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R4</w:t>
            </w:r>
          </w:p>
        </w:tc>
        <w:tc>
          <w:tcPr>
            <w:tcW w:type="dxa" w:w="43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Health free-text is kept longer than necessary on granted records (6-year retention)</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Likely</w:t>
            </w:r>
          </w:p>
        </w:tc>
        <w:tc>
          <w:tcPr>
            <w:tcW w:type="dxa" w:w="1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c>
          <w:tcPr>
            <w:tcW w:type="dxa" w:w="16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R5</w:t>
            </w:r>
          </w:p>
        </w:tc>
        <w:tc>
          <w:tcPr>
            <w:tcW w:type="dxa" w:w="4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Bank or payment details are accessed by someone outside the finance role</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Unlikely</w:t>
            </w:r>
          </w:p>
        </w:tc>
        <w:tc>
          <w:tcPr>
            <w:tcW w:type="dxa" w:w="1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c>
          <w:tcPr>
            <w:tcW w:type="dxa" w:w="16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r>
      <w:tr>
        <w:tc>
          <w:tcPr>
            <w:tcW w:type="dxa" w:w="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R6</w:t>
            </w:r>
          </w:p>
        </w:tc>
        <w:tc>
          <w:tcPr>
            <w:tcW w:type="dxa" w:w="43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Data is processed or stored outside the UK, breaching the residency commitment</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Unlikely</w:t>
            </w:r>
          </w:p>
        </w:tc>
        <w:tc>
          <w:tcPr>
            <w:tcW w:type="dxa" w:w="1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c>
          <w:tcPr>
            <w:tcW w:type="dxa" w:w="16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R7</w:t>
            </w:r>
          </w:p>
        </w:tc>
        <w:tc>
          <w:tcPr>
            <w:tcW w:type="dxa" w:w="4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An erasure request is not honoured across every system holding a copy</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Possible</w:t>
            </w:r>
          </w:p>
        </w:tc>
        <w:tc>
          <w:tcPr>
            <w:tcW w:type="dxa" w:w="1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c>
          <w:tcPr>
            <w:tcW w:type="dxa" w:w="16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r>
      <w:tr>
        <w:tc>
          <w:tcPr>
            <w:tcW w:type="dxa" w:w="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R8</w:t>
            </w:r>
          </w:p>
        </w:tc>
        <w:tc>
          <w:tcPr>
            <w:tcW w:type="dxa" w:w="43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The service account is compromised, exposing the whole dataset through its broad access</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Unlikely</w:t>
            </w:r>
          </w:p>
        </w:tc>
        <w:tc>
          <w:tcPr>
            <w:tcW w:type="dxa" w:w="14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High</w:t>
            </w:r>
          </w:p>
        </w:tc>
        <w:tc>
          <w:tcPr>
            <w:tcW w:type="dxa" w:w="16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R9</w:t>
            </w:r>
          </w:p>
        </w:tc>
        <w:tc>
          <w:tcPr>
            <w:tcW w:type="dxa" w:w="4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 leaver keeps access after their role ends</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Possible</w:t>
            </w:r>
          </w:p>
        </w:tc>
        <w:tc>
          <w:tcPr>
            <w:tcW w:type="dxa" w:w="14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c>
          <w:tcPr>
            <w:tcW w:type="dxa" w:w="16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7.  Measures to reduce the risks</w:t>
      </w:r>
    </w:p>
    <w:p>
      <w:pPr>
        <w:spacing w:after="160" w:line="276"/>
      </w:pPr>
      <w:r>
        <w:rPr>
          <w:rFonts w:ascii="Inter" w:cs="Inter" w:eastAsia="Inter" w:hAnsi="Inter"/>
          <w:color w:val="1A1A1A"/>
          <w:sz w:val="21"/>
          <w:szCs w:val="21"/>
        </w:rPr>
        <w:t xml:space="preserve">The controls below are built into the design, not added afterwards. Each maps to the risks in Section 6 and to the Security Model that configures it. The residual rating is the risk that remains once the control is working as designed.</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1300"/>
        <w:gridCol w:w="6560"/>
        <w:gridCol w:w="1500"/>
      </w:tblGrid>
      <w:tr>
        <w:trPr>
          <w:tblHeader/>
        </w:trPr>
        <w:tc>
          <w:tcPr>
            <w:tcW w:type="dxa" w:w="13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Addresses</w:t>
            </w:r>
          </w:p>
        </w:tc>
        <w:tc>
          <w:tcPr>
            <w:tcW w:type="dxa" w:w="65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Measure designed in</w:t>
            </w:r>
          </w:p>
        </w:tc>
        <w:tc>
          <w:tcPr>
            <w:tcW w:type="dxa" w:w="15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Residual</w:t>
            </w:r>
          </w:p>
        </w:tc>
      </w:tr>
      <w:tr>
        <w:tc>
          <w:tcPr>
            <w:tcW w:type="dxa" w:w="1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R1</w:t>
            </w:r>
          </w:p>
        </w:tc>
        <w:tc>
          <w:tcPr>
            <w:tcW w:type="dxa" w:w="6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Field-level (column) security hides identifying columns from the trustee role so they never reach the trustee app; AI Builder redacts free-text before trustee review; Emily reviews flagged anonymisation</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Low</w:t>
            </w:r>
          </w:p>
        </w:tc>
      </w:tr>
      <w:tr>
        <w:tc>
          <w:tcPr>
            <w:tcW w:type="dxa" w:w="13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R2</w:t>
            </w:r>
          </w:p>
        </w:tc>
        <w:tc>
          <w:tcPr>
            <w:tcW w:type="dxa" w:w="6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Least-privilege roles; special-category fields readable by the admin role and service account only; separation of duties keeps bank data behind the finance role alone</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Low</w:t>
            </w:r>
          </w:p>
        </w:tc>
      </w:tr>
      <w:tr>
        <w:tc>
          <w:tcPr>
            <w:tcW w:type="dxa" w:w="1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R3</w:t>
            </w:r>
          </w:p>
        </w:tc>
        <w:tc>
          <w:tcPr>
            <w:tcW w:type="dxa" w:w="6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Scoring is automatic but Emily reviews every borderline case, sets the threshold and can override any outcome; trustees make the funding decision on eligible cases (see Section 8)</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 — pending DPO confirmation</w:t>
            </w:r>
          </w:p>
        </w:tc>
      </w:tr>
      <w:tr>
        <w:tc>
          <w:tcPr>
            <w:tcW w:type="dxa" w:w="13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R4</w:t>
            </w:r>
          </w:p>
        </w:tc>
        <w:tc>
          <w:tcPr>
            <w:tcW w:type="dxa" w:w="6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Retention runs automatically; the design allows the health free-text to be redacted earlier if the DPO prefers tighter minimisation — a configuration change, not a rebuild</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Medium — DPO decision open</w:t>
            </w:r>
          </w:p>
        </w:tc>
      </w:tr>
      <w:tr>
        <w:tc>
          <w:tcPr>
            <w:tcW w:type="dxa" w:w="1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R5</w:t>
            </w:r>
          </w:p>
        </w:tc>
        <w:tc>
          <w:tcPr>
            <w:tcW w:type="dxa" w:w="6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Bank Account and Payment tables sit behind the finance role only; even the admin role has no access to them</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Low</w:t>
            </w:r>
          </w:p>
        </w:tc>
      </w:tr>
      <w:tr>
        <w:tc>
          <w:tcPr>
            <w:tcW w:type="dxa" w:w="13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R6</w:t>
            </w:r>
          </w:p>
        </w:tc>
        <w:tc>
          <w:tcPr>
            <w:tcW w:type="dxa" w:w="6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UK residency configured across Power Platform, Dataverse, AI Builder, DocuSign and QuickBooks; verified at environment setup (WBS 0.2); DLP blocks unapproved connectors</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Low</w:t>
            </w:r>
          </w:p>
        </w:tc>
      </w:tr>
      <w:tr>
        <w:tc>
          <w:tcPr>
            <w:tcW w:type="dxa" w:w="1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R7</w:t>
            </w:r>
          </w:p>
        </w:tc>
        <w:tc>
          <w:tcPr>
            <w:tcW w:type="dxa" w:w="6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Erasure cascades through Dataverse and a helper flow reaches DocuSign, QuickBooks and the PDF library; the requester is told what is held under legal hold</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Low</w:t>
            </w:r>
          </w:p>
        </w:tc>
      </w:tr>
      <w:tr>
        <w:tc>
          <w:tcPr>
            <w:tcW w:type="dxa" w:w="13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R8</w:t>
            </w:r>
          </w:p>
        </w:tc>
        <w:tc>
          <w:tcPr>
            <w:tcW w:type="dxa" w:w="65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Service account signs in with MFA under a scoped Conditional Access exception; connections limited to the solution; native audit logs every action</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Low</w:t>
            </w:r>
          </w:p>
        </w:tc>
      </w:tr>
      <w:tr>
        <w:tc>
          <w:tcPr>
            <w:tcW w:type="dxa" w:w="13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R9</w:t>
            </w:r>
          </w:p>
        </w:tc>
        <w:tc>
          <w:tcPr>
            <w:tcW w:type="dxa" w:w="65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Access follows the tenant joiner-and-leaver process with Wanstor; role membership reviewed on a set cadence; the DPO is notified of changes to special-category or finance access</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Low</w:t>
            </w:r>
          </w:p>
        </w:tc>
      </w:tr>
    </w:tbl>
    <w:p>
      <w:pPr>
        <w:spacing w:after="160" w:line="276"/>
      </w:pPr>
      <w:r>
        <w:rPr>
          <w:rFonts w:ascii="Inter" w:cs="Inter" w:eastAsia="Inter" w:hAnsi="Inter"/>
          <w:b/>
          <w:bCs/>
          <w:color w:val="1A1A1A"/>
          <w:sz w:val="21"/>
          <w:szCs w:val="21"/>
        </w:rPr>
        <w:t xml:space="preserve">Review cadence. </w:t>
      </w:r>
      <w:r>
        <w:rPr>
          <w:rFonts w:ascii="Inter" w:cs="Inter" w:eastAsia="Inter" w:hAnsi="Inter"/>
          <w:color w:val="1A1A1A"/>
          <w:sz w:val="21"/>
          <w:szCs w:val="21"/>
        </w:rPr>
        <w:t xml:space="preserve">Role membership is reviewed on a set cadence. </w:t>
      </w:r>
      <w:r>
        <w:rPr>
          <w:rFonts w:ascii="Inter" w:cs="Inter" w:eastAsia="Inter" w:hAnsi="Inter"/>
          <w:b/>
          <w:bCs/>
          <w:color w:val="9A6A18"/>
          <w:sz w:val="21"/>
          <w:szCs w:val="21"/>
        </w:rPr>
        <w:t xml:space="preserve">[TBC — confirm the interval with Emily and the DPO; a review each quarter or at the start of each panel round is the working assumption.]</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8.  Automated decision-making</w:t>
      </w:r>
    </w:p>
    <w:p>
      <w:pPr>
        <w:spacing w:after="160" w:line="276"/>
      </w:pPr>
      <w:r>
        <w:rPr>
          <w:rFonts w:ascii="Inter" w:cs="Inter" w:eastAsia="Inter" w:hAnsi="Inter"/>
          <w:color w:val="1A1A1A"/>
          <w:sz w:val="21"/>
          <w:szCs w:val="21"/>
        </w:rPr>
        <w:t xml:space="preserve">The scoring flow calculates a circumstance score from the applicant's wellbeing answers and applies the knockout threshold and income ceiling Emily holds in Settings, then sets the status to auto-pass, borderline or auto-reject. The disability, health-condition data and the free-text narrative do not feed the score. Emily does not re-score by hand; she reviews the borderline cases the flow flags, can adjust the threshold, and can override any outcome. Trustees make the funding decision on eligible applications.</w:t>
      </w:r>
    </w:p>
    <w:p>
      <w:pPr>
        <w:spacing w:after="160" w:line="276"/>
      </w:pPr>
      <w:r>
        <w:rPr>
          <w:rFonts w:ascii="Inter" w:cs="Inter" w:eastAsia="Inter" w:hAnsi="Inter"/>
          <w:b/>
          <w:bCs/>
          <w:color w:val="1A1A1A"/>
          <w:sz w:val="21"/>
          <w:szCs w:val="21"/>
        </w:rPr>
        <w:t xml:space="preserve">The open question is whether automatic rejection at the threshold, with Emily's oversight and override, meets Revitalise's automated-decision position under the Data (Use and Access) Act 2025. </w:t>
      </w:r>
      <w:r>
        <w:rPr>
          <w:rFonts w:ascii="Inter" w:cs="Inter" w:eastAsia="Inter" w:hAnsi="Inter"/>
          <w:color w:val="1A1A1A"/>
          <w:sz w:val="21"/>
          <w:szCs w:val="21"/>
        </w:rPr>
        <w:t xml:space="preserve">This is a decision for the DPO to confirm. If a stronger form of human review is required before any rejection stands, the flow can route auto-reject outcomes through Emily rather than closing them automatically — a configuration change within the current design.</w:t>
      </w:r>
    </w:p>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9.  Outcome, actions and sign-off</w:t>
      </w:r>
    </w:p>
    <w:p>
      <w:pPr>
        <w:spacing w:after="160" w:line="276"/>
      </w:pPr>
      <w:r>
        <w:rPr>
          <w:rFonts w:ascii="Inter" w:cs="Inter" w:eastAsia="Inter" w:hAnsi="Inter"/>
          <w:color w:val="1A1A1A"/>
          <w:sz w:val="21"/>
          <w:szCs w:val="21"/>
        </w:rPr>
        <w:t xml:space="preserve">The DPIA outcome and residual-risk acceptance are the DPO's to record. This draft leaves the outcome open and lists the actions that must close before go-live:</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500"/>
        <w:gridCol w:w="7360"/>
        <w:gridCol w:w="1500"/>
      </w:tblGrid>
      <w:tr>
        <w:trPr>
          <w:tblHeader/>
        </w:trPr>
        <w:tc>
          <w:tcPr>
            <w:tcW w:type="dxa" w:w="5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w:t>
            </w:r>
          </w:p>
        </w:tc>
        <w:tc>
          <w:tcPr>
            <w:tcW w:type="dxa" w:w="73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Action to close before go-live</w:t>
            </w:r>
          </w:p>
        </w:tc>
        <w:tc>
          <w:tcPr>
            <w:tcW w:type="dxa" w:w="15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Owner</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A1</w:t>
            </w:r>
          </w:p>
        </w:tc>
        <w:tc>
          <w:tcPr>
            <w:tcW w:type="dxa" w:w="7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Confirm field-level security is an acceptable trustee control in place of manual single-key-holder anonymisation</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DPO</w:t>
            </w:r>
          </w:p>
        </w:tc>
      </w:tr>
      <w:tr>
        <w:tc>
          <w:tcPr>
            <w:tcW w:type="dxa" w:w="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A2</w:t>
            </w:r>
          </w:p>
        </w:tc>
        <w:tc>
          <w:tcPr>
            <w:tcW w:type="dxa" w:w="73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Confirm automatic rejection at the threshold, with oversight and override, satisfies the automated-decision position (DUAA 2025)</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DPO</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A3</w:t>
            </w:r>
          </w:p>
        </w:tc>
        <w:tc>
          <w:tcPr>
            <w:tcW w:type="dxa" w:w="7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Confirm 6-year retention of the health free-text is preferred over earlier minimisation</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DPO</w:t>
            </w:r>
          </w:p>
        </w:tc>
      </w:tr>
      <w:tr>
        <w:tc>
          <w:tcPr>
            <w:tcW w:type="dxa" w:w="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A4</w:t>
            </w:r>
          </w:p>
        </w:tc>
        <w:tc>
          <w:tcPr>
            <w:tcW w:type="dxa" w:w="73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Confirm expected application volume and the role-review cadence</w:t>
            </w:r>
          </w:p>
        </w:tc>
        <w:tc>
          <w:tcPr>
            <w:tcW w:type="dxa" w:w="15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 owner</w:t>
            </w:r>
          </w:p>
        </w:tc>
      </w:tr>
      <w:tr>
        <w:tc>
          <w:tcPr>
            <w:tcW w:type="dxa" w:w="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A5</w:t>
            </w:r>
          </w:p>
        </w:tc>
        <w:tc>
          <w:tcPr>
            <w:tcW w:type="dxa" w:w="73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Verify UK residency and backup arrangements at environment setup</w:t>
            </w:r>
          </w:p>
        </w:tc>
        <w:tc>
          <w:tcPr>
            <w:tcW w:type="dxa" w:w="15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Builder / Wanstor</w:t>
            </w:r>
          </w:p>
        </w:tc>
      </w:tr>
    </w:tbl>
    <w:p>
      <w:pPr>
        <w:spacing w:after="160" w:line="276"/>
      </w:pPr>
      <w:r>
        <w:rPr>
          <w:rFonts w:ascii="Inter" w:cs="Inter" w:eastAsia="Inter" w:hAnsi="Inter"/>
          <w:color w:val="1A1A1A"/>
          <w:sz w:val="21"/>
          <w:szCs w:val="21"/>
        </w:rPr>
        <w:t xml:space="preserve">Sign-off record — to be completed on review:</w:t>
      </w:r>
    </w:p>
    <w:tbl>
      <w:tblPr>
        <w:tblW w:type="dxa" w:w="9360"/>
        <w:tblBorders>
          <w:top w:val="single" w:color="D9DDE3" w:sz="4"/>
          <w:left w:val="single" w:color="D9DDE3" w:sz="4"/>
          <w:bottom w:val="single" w:color="D9DDE3" w:sz="4"/>
          <w:right w:val="single" w:color="D9DDE3" w:sz="4"/>
          <w:insideH w:val="single" w:color="D9DDE3" w:sz="4"/>
          <w:insideV w:val="single" w:color="D9DDE3" w:sz="4"/>
        </w:tblBorders>
      </w:tblPr>
      <w:tblGrid>
        <w:gridCol w:w="2700"/>
        <w:gridCol w:w="3200"/>
        <w:gridCol w:w="3460"/>
      </w:tblGrid>
      <w:tr>
        <w:trPr>
          <w:tblHeader/>
        </w:trPr>
        <w:tc>
          <w:tcPr>
            <w:tcW w:type="dxa" w:w="27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Role</w:t>
            </w:r>
          </w:p>
        </w:tc>
        <w:tc>
          <w:tcPr>
            <w:tcW w:type="dxa" w:w="320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Name</w:t>
            </w:r>
          </w:p>
        </w:tc>
        <w:tc>
          <w:tcPr>
            <w:tcW w:type="dxa" w:w="3460"/>
            <w:tcBorders>
              <w:top w:val="single" w:color="05132A" w:sz="4"/>
              <w:left w:val="single" w:color="05132A" w:sz="4"/>
              <w:bottom w:val="single" w:color="05132A" w:sz="4"/>
              <w:right w:val="single" w:color="05132A" w:sz="4"/>
            </w:tcBorders>
            <w:shd w:fill="05132A" w:val="clear"/>
            <w:tcMar>
              <w:top w:type="dxa" w:w="70"/>
              <w:left w:type="dxa" w:w="110"/>
              <w:bottom w:type="dxa" w:w="70"/>
              <w:right w:type="dxa" w:w="110"/>
            </w:tcMar>
          </w:tcPr>
          <w:p>
            <w:r>
              <w:rPr>
                <w:rFonts w:ascii="Montserrat" w:cs="Montserrat" w:eastAsia="Montserrat" w:hAnsi="Montserrat"/>
                <w:b/>
                <w:bCs/>
                <w:color w:val="FFFFFF"/>
                <w:sz w:val="17"/>
                <w:szCs w:val="17"/>
              </w:rPr>
              <w:t xml:space="preserve">Outcome / date</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DPO</w:t>
            </w:r>
          </w:p>
        </w:tc>
        <w:tc>
          <w:tcPr>
            <w:tcW w:type="dxa" w:w="3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[Current DPO]</w:t>
            </w:r>
          </w:p>
        </w:tc>
        <w:tc>
          <w:tcPr>
            <w:tcW w:type="dxa" w:w="3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     ]</w:t>
            </w:r>
          </w:p>
        </w:tc>
      </w:tr>
      <w:tr>
        <w:tc>
          <w:tcPr>
            <w:tcW w:type="dxa" w:w="27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Controller (process owner)</w:t>
            </w:r>
          </w:p>
        </w:tc>
        <w:tc>
          <w:tcPr>
            <w:tcW w:type="dxa" w:w="320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Emily</w:t>
            </w:r>
          </w:p>
        </w:tc>
        <w:tc>
          <w:tcPr>
            <w:tcW w:type="dxa" w:w="3460"/>
            <w:tcBorders>
              <w:top w:val="single" w:color="D9DDE3" w:sz="4"/>
              <w:left w:val="single" w:color="D9DDE3" w:sz="4"/>
              <w:bottom w:val="single" w:color="D9DDE3" w:sz="4"/>
              <w:right w:val="single" w:color="D9DDE3" w:sz="4"/>
            </w:tcBorders>
            <w:shd w:fill="F7F5F2"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     ]</w:t>
            </w:r>
          </w:p>
        </w:tc>
      </w:tr>
      <w:tr>
        <w:tc>
          <w:tcPr>
            <w:tcW w:type="dxa" w:w="27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Processor (builder)</w:t>
            </w:r>
          </w:p>
        </w:tc>
        <w:tc>
          <w:tcPr>
            <w:tcW w:type="dxa" w:w="320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Xander Lykopoulos — Argelis</w:t>
            </w:r>
          </w:p>
        </w:tc>
        <w:tc>
          <w:tcPr>
            <w:tcW w:type="dxa" w:w="3460"/>
            <w:tcBorders>
              <w:top w:val="single" w:color="D9DDE3" w:sz="4"/>
              <w:left w:val="single" w:color="D9DDE3" w:sz="4"/>
              <w:bottom w:val="single" w:color="D9DDE3" w:sz="4"/>
              <w:right w:val="single" w:color="D9DDE3" w:sz="4"/>
            </w:tcBorders>
            <w:shd w:fill="FFFFFF" w:val="clear"/>
            <w:tcMar>
              <w:top w:type="dxa" w:w="60"/>
              <w:left w:type="dxa" w:w="110"/>
              <w:bottom w:type="dxa" w:w="60"/>
              <w:right w:type="dxa" w:w="110"/>
            </w:tcMar>
          </w:tcPr>
          <w:p>
            <w:pPr>
              <w:spacing w:after="0" w:line="264"/>
            </w:pPr>
            <w:r>
              <w:rPr>
                <w:rFonts w:ascii="Inter" w:cs="Inter" w:eastAsia="Inter" w:hAnsi="Inter"/>
                <w:color w:val="1A1A1A"/>
                <w:sz w:val="19"/>
                <w:szCs w:val="19"/>
              </w:rPr>
              <w:t xml:space="preserve">[     ]</w:t>
            </w:r>
          </w:p>
        </w:tc>
      </w:tr>
    </w:tbl>
    <w:p>
      <w:pPr>
        <w:pStyle w:val="Heading1"/>
        <w:pBdr>
          <w:bottom w:val="single" w:color="C99A52" w:sz="8" w:space="6"/>
        </w:pBdr>
        <w:spacing w:after="140" w:before="320"/>
      </w:pPr>
      <w:r>
        <w:rPr>
          <w:rFonts w:ascii="Montserrat" w:cs="Montserrat" w:eastAsia="Montserrat" w:hAnsi="Montserrat"/>
          <w:b/>
          <w:bCs/>
          <w:color w:val="05132A"/>
          <w:sz w:val="30"/>
          <w:szCs w:val="30"/>
        </w:rPr>
        <w:t xml:space="preserve">10.  Dependencies and open items</w:t>
      </w:r>
    </w:p>
    <w:p>
      <w:pPr>
        <w:pStyle w:val="ListParagraph"/>
        <w:numPr>
          <w:ilvl w:val="0"/>
          <w:numId w:val="2"/>
        </w:numPr>
        <w:spacing w:after="80" w:line="270"/>
      </w:pPr>
      <w:r>
        <w:rPr>
          <w:rFonts w:ascii="Inter" w:cs="Inter" w:eastAsia="Inter" w:hAnsi="Inter"/>
          <w:color w:val="1A1A1A"/>
          <w:sz w:val="21"/>
          <w:szCs w:val="21"/>
        </w:rPr>
        <w:t xml:space="preserve">WBS 0.3 — service account and Conditional Access exception, currently waiting for Wanstor.</w:t>
      </w:r>
    </w:p>
    <w:p>
      <w:pPr>
        <w:pStyle w:val="ListParagraph"/>
        <w:numPr>
          <w:ilvl w:val="0"/>
          <w:numId w:val="2"/>
        </w:numPr>
        <w:spacing w:after="80" w:line="270"/>
      </w:pPr>
      <w:r>
        <w:rPr>
          <w:rFonts w:ascii="Inter" w:cs="Inter" w:eastAsia="Inter" w:hAnsi="Inter"/>
          <w:color w:val="1A1A1A"/>
          <w:sz w:val="21"/>
          <w:szCs w:val="21"/>
        </w:rPr>
        <w:t xml:space="preserve">WBS 0.4 — the Dataverse tables built to the data model, so the controls have real columns to protect.</w:t>
      </w:r>
    </w:p>
    <w:p>
      <w:pPr>
        <w:pStyle w:val="ListParagraph"/>
        <w:numPr>
          <w:ilvl w:val="0"/>
          <w:numId w:val="2"/>
        </w:numPr>
        <w:spacing w:after="80" w:line="270"/>
      </w:pPr>
      <w:r>
        <w:rPr>
          <w:rFonts w:ascii="Inter" w:cs="Inter" w:eastAsia="Inter" w:hAnsi="Inter"/>
          <w:color w:val="1A1A1A"/>
          <w:sz w:val="21"/>
          <w:szCs w:val="21"/>
        </w:rPr>
        <w:t xml:space="preserve">Privacy Notice (20 February 2026) — the source of the lawful bases and retention periods used here.</w:t>
      </w:r>
    </w:p>
    <w:p>
      <w:pPr>
        <w:pStyle w:val="ListParagraph"/>
        <w:numPr>
          <w:ilvl w:val="0"/>
          <w:numId w:val="2"/>
        </w:numPr>
        <w:spacing w:after="80" w:line="270"/>
      </w:pPr>
      <w:r>
        <w:rPr>
          <w:rFonts w:ascii="Inter" w:cs="Inter" w:eastAsia="Inter" w:hAnsi="Inter"/>
          <w:color w:val="1A1A1A"/>
          <w:sz w:val="21"/>
          <w:szCs w:val="21"/>
        </w:rPr>
        <w:t xml:space="preserve">Confirmation of expected application volume and the role-review cadence.</w:t>
      </w:r>
    </w:p>
    <w:p>
      <w:pPr>
        <w:pStyle w:val="ListParagraph"/>
        <w:numPr>
          <w:ilvl w:val="0"/>
          <w:numId w:val="2"/>
        </w:numPr>
        <w:spacing w:after="80" w:line="270"/>
      </w:pPr>
      <w:r>
        <w:rPr>
          <w:rFonts w:ascii="Inter" w:cs="Inter" w:eastAsia="Inter" w:hAnsi="Inter"/>
          <w:color w:val="1A1A1A"/>
          <w:sz w:val="21"/>
          <w:szCs w:val="21"/>
        </w:rPr>
        <w:t xml:space="preserve">The three DPO decisions in Section 9, which gate build on this basis.</w:t>
      </w:r>
    </w:p>
    <w:p>
      <w:pPr>
        <w:spacing w:before="320"/>
      </w:pPr>
      <w:r>
        <w:rPr>
          <w:rFonts w:ascii="Montserrat" w:cs="Montserrat" w:eastAsia="Montserrat" w:hAnsi="Montserrat"/>
          <w:i/>
          <w:iCs/>
          <w:color w:val="8A9099"/>
          <w:sz w:val="16"/>
          <w:szCs w:val="16"/>
        </w:rPr>
        <w:t xml:space="preserve">Prepared by Xander Lykopoulos · Argelis Consultancy · Architectuur tussen ambitie en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4" w:space="6"/>
      </w:pBdr>
      <w:tabs>
        <w:tab w:val="right" w:pos="9360"/>
      </w:tabs>
    </w:pPr>
    <w:r>
      <w:rPr>
        <w:rFonts w:ascii="Montserrat" w:cs="Montserrat" w:eastAsia="Montserrat" w:hAnsi="Montserrat"/>
        <w:b/>
        <w:bCs/>
        <w:color w:val="05132A"/>
        <w:sz w:val="15"/>
        <w:szCs w:val="15"/>
      </w:rPr>
      <w:t xml:space="preserve">Argelis Consultancy</w:t>
    </w:r>
    <w:r>
      <w:rPr>
        <w:rFonts w:ascii="Inter" w:cs="Inter" w:eastAsia="Inter" w:hAnsi="Inter"/>
        <w:color w:val="8A9099"/>
        <w:sz w:val="15"/>
        <w:szCs w:val="15"/>
      </w:rPr>
      <w:t xml:space="preserve">	DPIA — Revitalise Grant Automation · v0.1 Concept · Confidential  ·  Page </w:t>
    </w:r>
    <w:r>
      <w:rPr>
        <w:rFonts w:ascii="Inter" w:cs="Inter" w:eastAsia="Inter" w:hAnsi="Inter"/>
        <w:color w:val="8A90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rFonts w:ascii="Montserrat" w:cs="Montserrat" w:eastAsia="Montserrat" w:hAnsi="Montserrat"/>
        <w:color w:val="C99A5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Props1.xml><?xml version="1.0" encoding="utf-8"?>
<ds:datastoreItem xmlns:ds="http://schemas.openxmlformats.org/officeDocument/2006/customXml" ds:itemID="{83230C7D-F9A9-4B91-9730-259A11E7A791}"/>
</file>

<file path=customXml/itemProps2.xml><?xml version="1.0" encoding="utf-8"?>
<ds:datastoreItem xmlns:ds="http://schemas.openxmlformats.org/officeDocument/2006/customXml" ds:itemID="{8D6169B6-8F00-428D-8E3B-5EB9EEA9E6A8}"/>
</file>

<file path=customXml/itemProps3.xml><?xml version="1.0" encoding="utf-8"?>
<ds:datastoreItem xmlns:ds="http://schemas.openxmlformats.org/officeDocument/2006/customXml" ds:itemID="{AA792C1E-4D94-4613-9646-E83128DE5FA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 — Revitalise Grant Automation · v0.1 Concept · Confidential</dc:title>
  <dc:creator>Argelis Consultancy</dc:creator>
  <cp:lastModifiedBy>Un-named</cp:lastModifiedBy>
  <cp:revision>1</cp:revision>
  <dcterms:created xsi:type="dcterms:W3CDTF">2026-07-17T09:15:28Z</dcterms:created>
  <dcterms:modified xsi:type="dcterms:W3CDTF">2026-07-17T09:15:28Z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ies>
</file>