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comments.xml" ContentType="application/vnd.openxmlformats-officedocument.wordprocessingml.comment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Types>
</file>

<file path=_rels/.rels><?xml version='1.0' encoding='UTF-8' standalone='yes'?>
<Relationships xmlns="http://schemas.openxmlformats.org/package/2006/relationships"><Relationship Id="rId1" Type="http://schemas.openxmlformats.org/officeDocument/2006/relationships/officeDocument" Target="word/document.xml"/><Relationship Id="rId2" Type="http://schemas.openxmlformats.org/package/2006/relationships/metadata/core-properties" Target="docProps/core.xml"/><Relationship Id="rId3" Type="http://schemas.openxmlformats.org/officeDocument/2006/relationships/extended-properties" Target="docProps/app.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aink="http://schemas.microsoft.com/office/drawing/2016/ink" xmlns:am3d="http://schemas.microsoft.com/office/drawing/2017/model3d"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p14">
  <w:body>
    <w:p>
      <w:pPr>
        <w:spacing w:after="520" w:before="240"/>
      </w:pPr>
      <w:r>
        <w:drawing>
          <wp:inline distT="0" distB="0" distL="0" distR="0">
            <wp:extent cx="1866900" cy="514350"/>
            <wp:effectExtent t="0" r="0" b="0" l="0"/>
            <wp:docPr id="1" name="" descr="" titl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descr=""/>
                    <pic:cNvPicPr>
                      <a:picLocks noChangeAspect="1" noChangeArrowheads="1"/>
                    </pic:cNvPicPr>
                  </pic:nvPicPr>
                  <pic:blipFill>
                    <a:blip r:embed="rId8" cstate="none"/>
                    <a:srcRect/>
                    <a:stretch>
                      <a:fillRect/>
                    </a:stretch>
                  </pic:blipFill>
                  <pic:spPr bwMode="auto">
                    <a:xfrm>
                      <a:off x="0" y="0"/>
                      <a:ext cx="1866900" cy="514350"/>
                    </a:xfrm>
                    <a:prstGeom prst="rect">
                      <a:avLst/>
                    </a:prstGeom>
                  </pic:spPr>
                </pic:pic>
              </a:graphicData>
            </a:graphic>
          </wp:inline>
        </w:drawing>
      </w:r>
    </w:p>
    <w:p>
      <w:pPr>
        <w:spacing w:after="120"/>
      </w:pPr>
      <w:r>
        <w:rPr>
          <w:rFonts w:ascii="Montserrat" w:cs="Montserrat" w:eastAsia="Montserrat" w:hAnsi="Montserrat"/>
          <w:b/>
          <w:bCs/>
          <w:i w:val="false"/>
          <w:iCs w:val="false"/>
          <w:caps/>
          <w:color w:val="C99A52"/>
          <w:spacing w:val="40"/>
          <w:sz w:val="20"/>
          <w:szCs w:val="20"/>
        </w:rPr>
        <w:t xml:space="preserve">GOVERNANCE RUNBOOK</w:t>
      </w:r>
    </w:p>
    <w:p>
      <w:pPr>
        <w:spacing w:after="60"/>
      </w:pPr>
      <w:r>
        <w:rPr>
          <w:rFonts w:ascii="Montserrat" w:cs="Montserrat" w:eastAsia="Montserrat" w:hAnsi="Montserrat"/>
          <w:b/>
          <w:bCs/>
          <w:i w:val="false"/>
          <w:iCs w:val="false"/>
          <w:caps w:val="false"/>
          <w:color w:val="05132A"/>
          <w:sz w:val="52"/>
          <w:szCs w:val="52"/>
        </w:rPr>
        <w:t xml:space="preserve">Governance &amp; Operations Runbook</w:t>
      </w:r>
    </w:p>
    <w:p>
      <w:pPr>
        <w:spacing w:after="60"/>
      </w:pPr>
    </w:p>
    <w:p>
      <w:pPr>
        <w:pBdr>
          <w:bottom w:val="single" w:color="C99A52" w:sz="12" w:space="8"/>
        </w:pBdr>
        <w:spacing w:after="460" w:line="300"/>
      </w:pPr>
      <w:r>
        <w:rPr>
          <w:rFonts w:ascii="Inter" w:cs="Inter" w:eastAsia="Inter" w:hAnsi="Inter"/>
          <w:b w:val="false"/>
          <w:bCs w:val="false"/>
          <w:i/>
          <w:iCs/>
          <w:caps w:val="false"/>
          <w:color w:val="8A9099"/>
          <w:sz w:val="23"/>
          <w:szCs w:val="23"/>
        </w:rPr>
        <w:t xml:space="preserve">Who owns what, how the solution is monitored, and how it is handed over.</w:t>
      </w:r>
    </w:p>
    <w:tbl>
      <w:tblPr>
        <w:tblW w:type="dxa" w:w="9026"/>
        <w:tblBorders>
          <w:top w:val="none" w:color="FFFFFF" w:sz="0"/>
          <w:left w:val="none" w:color="FFFFFF" w:sz="0"/>
          <w:bottom w:val="none" w:color="FFFFFF" w:sz="0"/>
          <w:right w:val="none" w:color="FFFFFF" w:sz="0"/>
          <w:insideH w:val="single" w:color="D9DDE3" w:sz="3"/>
          <w:insideV w:val="none" w:color="FFFFFF" w:sz="0"/>
        </w:tblBorders>
      </w:tblPr>
      <w:tblGrid>
        <w:gridCol w:w="2600"/>
        <w:gridCol w:w="6426"/>
      </w:tblGrid>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CLIENT</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Revitalise</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PREPARED BY</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Xander Lykopoulos — Argelis Consultancy</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DELIVERABLE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Governance runbook (WBS 0.8)</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VERSION</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v0.1 — Draft</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DATE</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15 July 2026</w:t>
            </w:r>
          </w:p>
        </w:tc>
      </w:tr>
      <w:tr>
        <w:tc>
          <w:tcPr>
            <w:tcW w:type="dxa" w:w="2600"/>
            <w:tcMar>
              <w:top w:type="dxa" w:w="70"/>
              <w:left w:type="dxa" w:w="0"/>
              <w:bottom w:type="dxa" w:w="70"/>
              <w:right w:type="dxa" w:w="60"/>
            </w:tcMar>
          </w:tcPr>
          <w:p>
            <w:pPr>
              <w:spacing w:after="0"/>
            </w:pPr>
            <w:r>
              <w:rPr>
                <w:rFonts w:ascii="Montserrat" w:cs="Montserrat" w:eastAsia="Montserrat" w:hAnsi="Montserrat"/>
                <w:b/>
                <w:bCs/>
                <w:i w:val="false"/>
                <w:iCs w:val="false"/>
                <w:caps/>
                <w:color w:val="C99A52"/>
                <w:spacing w:val="24"/>
                <w:sz w:val="15"/>
                <w:szCs w:val="15"/>
              </w:rPr>
              <w:t xml:space="preserve">STATUS</w:t>
            </w:r>
          </w:p>
        </w:tc>
        <w:tc>
          <w:tcPr>
            <w:tcW w:type="dxa" w:w="6426"/>
            <w:tcMar>
              <w:top w:type="dxa" w:w="70"/>
              <w:left w:type="dxa" w:w="0"/>
              <w:bottom w:type="dxa" w:w="70"/>
              <w:right w:type="dxa" w:w="0"/>
            </w:tcMar>
          </w:tcPr>
          <w:p>
            <w:pPr>
              <w:spacing w:after="0"/>
            </w:pPr>
            <w:r>
              <w:rPr>
                <w:rFonts w:ascii="Inter" w:cs="Inter" w:eastAsia="Inter" w:hAnsi="Inter"/>
                <w:b w:val="false"/>
                <w:bCs w:val="false"/>
                <w:i w:val="false"/>
                <w:iCs w:val="false"/>
                <w:caps w:val="false"/>
                <w:color w:val="05132A"/>
                <w:sz w:val="21"/>
                <w:szCs w:val="21"/>
              </w:rPr>
              <w:t xml:space="preserve">Draft</w:t>
            </w:r>
          </w:p>
        </w:tc>
      </w:tr>
    </w:tbl>
    <w:p>
      <w:pPr>
        <w:spacing w:after="200"/>
      </w:pPr>
    </w:p>
    <w:p>
      <w:pPr>
        <w:spacing w:after="0" w:line="264"/>
      </w:pPr>
      <w:r>
        <w:rPr>
          <w:rFonts w:ascii="Inter" w:cs="Inter" w:eastAsia="Inter" w:hAnsi="Inter"/>
          <w:b w:val="false"/>
          <w:bCs w:val="false"/>
          <w:i w:val="false"/>
          <w:iCs w:val="false"/>
          <w:caps w:val="false"/>
          <w:color w:val="8A9099"/>
          <w:sz w:val="17"/>
          <w:szCs w:val="17"/>
        </w:rPr>
        <w:t xml:space="preserve">v0.1 (15 Jul 2026): first draft; the final Phase 0 deliverable, building on the security model (0.5), ALM runbook (0.6) and data governance framework (0.7). Rev 15 Jul 2026: added the operational Error Log table and the REV | Ops | Failure Alert monitoring flow to sections 4 and 8.</w:t>
      </w:r>
    </w:p>
    <w:p>
      <w:r>
        <w:br w:type="page"/>
      </w:r>
    </w:p>
    <w:p>
      <w:pPr>
        <w:spacing w:after="160"/>
      </w:pPr>
      <w:r>
        <w:rPr>
          <w:rFonts w:ascii="Montserrat" w:cs="Montserrat" w:eastAsia="Montserrat" w:hAnsi="Montserrat"/>
          <w:b/>
          <w:bCs/>
          <w:i w:val="false"/>
          <w:iCs w:val="false"/>
          <w:caps w:val="false"/>
          <w:color w:val="05132A"/>
          <w:sz w:val="30"/>
          <w:szCs w:val="30"/>
        </w:rPr>
        <w:t xml:space="preserve">Contents</w:t>
      </w:r>
    </w:p>
    <w:sdt>
      <w:sdtPr>
        <w:alias w:val="Contents"/>
      </w:sdtPr>
      <w:sdtContent>
        <w:p>
          <w:r>
            <w:fldChar w:fldCharType="begin" w:dirty="true"/>
            <w:instrText xml:space="preserve">TOC \h \o "1-3"</w:instrText>
            <w:fldChar w:fldCharType="separate"/>
          </w:r>
        </w:p>
        <w:p>
          <w:r>
            <w:fldChar w:fldCharType="end"/>
          </w:r>
        </w:p>
      </w:sdtContent>
    </w:sdt>
    <w:p>
      <w:r>
        <w:br w:type="page"/>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1. Purpose and scope</w:t>
      </w:r>
    </w:p>
    <w:p>
      <w:pPr>
        <w:spacing w:after="160" w:before="0" w:line="276"/>
        <w:jc w:val="left"/>
      </w:pPr>
      <w:r>
        <w:rPr>
          <w:rFonts w:ascii="Inter" w:cs="Inter" w:eastAsia="Inter" w:hAnsi="Inter"/>
          <w:b w:val="false"/>
          <w:bCs w:val="false"/>
          <w:i w:val="false"/>
          <w:iCs w:val="false"/>
          <w:caps w:val="false"/>
          <w:color w:val="05132A"/>
          <w:sz w:val="21"/>
          <w:szCs w:val="21"/>
        </w:rPr>
        <w:t xml:space="preserve">This runbook (WBS 0.8) is the operating manual for the Revitalise grant-automation solution once it is live. It records who owns each part, how licences are kept current, how the solution is monitored, how problems are escalated, and what has to be true before the solution is handed over to Revitalise for ongoing management.</w:t>
      </w:r>
    </w:p>
    <w:p>
      <w:pPr>
        <w:spacing w:after="160" w:before="0" w:line="276"/>
        <w:jc w:val="left"/>
      </w:pPr>
      <w:r>
        <w:rPr>
          <w:rFonts w:ascii="Inter" w:cs="Inter" w:eastAsia="Inter" w:hAnsi="Inter"/>
          <w:b w:val="false"/>
          <w:bCs w:val="false"/>
          <w:i w:val="false"/>
          <w:iCs w:val="false"/>
          <w:caps w:val="false"/>
          <w:color w:val="05132A"/>
          <w:sz w:val="21"/>
          <w:szCs w:val="21"/>
        </w:rPr>
        <w:t xml:space="preserve">It is the last of the Phase 0 governance deliverables and builds directly on three siblings: the Security Model (WBS 0.5) for roles and field-level security, the ALM Runbook (WBS 0.6) for how changes move from Development to Production, and the Data Governance Framework (WBS 0.7) for retention and erasure. Where a topic is covered in full elsewhere, this document points to it rather than repeating it. Licensing detail sits in the Solution Architecture v0.4 §9.</w:t>
      </w:r>
    </w:p>
    <w:p>
      <w:pPr>
        <w:spacing w:after="160" w:before="0" w:line="276"/>
        <w:jc w:val="left"/>
      </w:pPr>
      <w:r>
        <w:rPr>
          <w:rFonts w:ascii="Inter" w:cs="Inter" w:eastAsia="Inter" w:hAnsi="Inter"/>
          <w:b w:val="false"/>
          <w:bCs w:val="false"/>
          <w:i w:val="false"/>
          <w:iCs w:val="false"/>
          <w:caps w:val="false"/>
          <w:color w:val="05132A"/>
          <w:sz w:val="21"/>
          <w:szCs w:val="21"/>
        </w:rPr>
        <w:t xml:space="preserve">The audience is the people who will run the solution day to day, not developers. It is written to be usable by a non-technical process owner and to give trustees a clear picture of their duties as controller.</w:t>
      </w:r>
    </w:p>
    <w:tbl>
      <w:tblPr>
        <w:tblW w:type="dxa" w:w="9026"/>
        <w:tblBorders>
          <w:top w:val="none" w:color="FFFFFF" w:sz="0"/>
          <w:left w:val="single" w:color="C99A52" w:sz="24"/>
          <w:bottom w:val="none" w:color="FFFFFF" w:sz="0"/>
          <w:right w:val="none" w:color="FFFFFF" w:sz="0"/>
          <w:insideH w:val="none" w:color="FFFFFF" w:sz="0"/>
          <w:insideV w:val="none" w:color="FFFFFF" w:sz="0"/>
        </w:tblBorders>
      </w:tblPr>
      <w:tblGrid>
        <w:gridCol w:w="9026"/>
      </w:tblGrid>
      <w:tr>
        <w:tc>
          <w:tcPr>
            <w:tcW w:type="dxa" w:w="9026"/>
            <w:shd w:fill="F7F5F2" w:color="auto" w:val="clear"/>
            <w:tcMar>
              <w:top w:type="dxa" w:w="160"/>
              <w:left w:type="dxa" w:w="220"/>
              <w:bottom w:type="dxa" w:w="160"/>
              <w:right w:type="dxa" w:w="220"/>
            </w:tcMar>
          </w:tcPr>
          <w:p>
            <w:pPr>
              <w:spacing w:after="60" w:line="240"/>
            </w:pPr>
            <w:r>
              <w:rPr>
                <w:rFonts w:ascii="Montserrat" w:cs="Montserrat" w:eastAsia="Montserrat" w:hAnsi="Montserrat"/>
                <w:b/>
                <w:bCs/>
                <w:i w:val="false"/>
                <w:iCs w:val="false"/>
                <w:caps/>
                <w:color w:val="C99A52"/>
                <w:spacing w:val="20"/>
                <w:sz w:val="16"/>
                <w:szCs w:val="16"/>
              </w:rPr>
              <w:t xml:space="preserve">In plain terms</w:t>
            </w:r>
          </w:p>
          <w:p>
            <w:pPr>
              <w:spacing w:after="0" w:line="264"/>
            </w:pPr>
            <w:r>
              <w:rPr>
                <w:rFonts w:ascii="Inter" w:cs="Inter" w:eastAsia="Inter" w:hAnsi="Inter"/>
                <w:b w:val="false"/>
                <w:bCs w:val="false"/>
                <w:i w:val="false"/>
                <w:iCs w:val="false"/>
                <w:caps w:val="false"/>
                <w:color w:val="05132A"/>
                <w:sz w:val="21"/>
                <w:szCs w:val="21"/>
              </w:rPr>
              <w:t xml:space="preserve">Once the build is finished, someone has to run it. This document says who does what, what to keep an eye on, who to call when something breaks, and the checklist that has to be signed off before Argelis steps back. Revitalise owns the solution, the data and the licences; Argelis helps on request.</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2. Ownership and responsibilities</w:t>
      </w:r>
    </w:p>
    <w:p>
      <w:pPr>
        <w:spacing w:after="160" w:before="0" w:line="276"/>
        <w:jc w:val="left"/>
      </w:pPr>
      <w:r>
        <w:rPr>
          <w:rFonts w:ascii="Inter" w:cs="Inter" w:eastAsia="Inter" w:hAnsi="Inter"/>
          <w:b w:val="false"/>
          <w:bCs w:val="false"/>
          <w:i w:val="false"/>
          <w:iCs w:val="false"/>
          <w:caps w:val="false"/>
          <w:color w:val="05132A"/>
          <w:sz w:val="21"/>
          <w:szCs w:val="21"/>
        </w:rPr>
        <w:t xml:space="preserve">Revitalise is the data controller and owns the solution. Argelis acts as processor and builder, on Revitalise's instruction. The table below sets out who is accountable for each area.</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600"/>
        <w:gridCol w:w="2000"/>
        <w:gridCol w:w="4426"/>
      </w:tblGrid>
      <w:tr>
        <w:trPr>
          <w:tblHeader/>
        </w:trPr>
        <w:tc>
          <w:tcPr>
            <w:tcW w:type="dxa" w:w="2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Area</w:t>
            </w:r>
          </w:p>
        </w:tc>
        <w:tc>
          <w:tcPr>
            <w:tcW w:type="dxa" w:w="2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Owner</w:t>
            </w:r>
          </w:p>
        </w:tc>
        <w:tc>
          <w:tcPr>
            <w:tcW w:type="dxa" w:w="44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Responsibility</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Solution and data (controller)</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Revitalise (trustees)</w:t>
            </w:r>
          </w:p>
        </w:tc>
        <w:tc>
          <w:tcPr>
            <w:tcW w:type="dxa" w:w="4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Accountable for the solution, the personal data it holds, and all licences. Owns any regulatory reporting.</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 protection</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The DPO</w:t>
            </w:r>
          </w:p>
        </w:tc>
        <w:tc>
          <w:tcPr>
            <w:tcW w:type="dxa" w:w="44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Signs off changes affecting personal or health data; advises on breaches; owner of the Privacy Notice and retention schedule.</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Daily processing (process owner)</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c>
          <w:tcPr>
            <w:tcW w:type="dxa" w:w="4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Runs daily processing, sets the scoring threshold and reviews the borderline applications the scoring flow flags, reviews flagged anonymisation, handles erasure requests. First responder for operational issues.</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Build and change</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Argelis (Xander)</w:t>
            </w:r>
          </w:p>
        </w:tc>
        <w:tc>
          <w:tcPr>
            <w:tcW w:type="dxa" w:w="44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Builds and changes flows, tables and roles on request, through the ALM runbook (WBS 0.6). No standing licence or data access.</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Automation identity</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svc-grantautomation service account</w:t>
            </w:r>
          </w:p>
        </w:tc>
        <w:tc>
          <w:tcPr>
            <w:tcW w:type="dxa" w:w="4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Owns and runs all Production flows and connections. Not a personal login; managed by Wanstor.</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Tenant and identity</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Wanstor</w:t>
            </w:r>
          </w:p>
        </w:tc>
        <w:tc>
          <w:tcPr>
            <w:tcW w:type="dxa" w:w="44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Manages the M365 tenant, the service account, Conditional Access, and administrator access. Sets up identity for the solution.</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Website form</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Alex</w:t>
            </w:r>
          </w:p>
        </w:tc>
        <w:tc>
          <w:tcPr>
            <w:tcW w:type="dxa" w:w="44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Maintains the WordPress / Gravity Forms application form and its connection to the intake flow.</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3. Licence ownership and renewal</w:t>
      </w:r>
    </w:p>
    <w:p>
      <w:pPr>
        <w:spacing w:after="160" w:before="0" w:line="276"/>
        <w:jc w:val="left"/>
      </w:pPr>
      <w:r>
        <w:rPr>
          <w:rFonts w:ascii="Inter" w:cs="Inter" w:eastAsia="Inter" w:hAnsi="Inter"/>
          <w:b/>
          <w:bCs/>
          <w:i w:val="false"/>
          <w:iCs w:val="false"/>
          <w:caps w:val="false"/>
          <w:color w:val="05132A"/>
          <w:sz w:val="21"/>
          <w:szCs w:val="21"/>
        </w:rPr>
        <w:t xml:space="preserve">All licences are Revitalise's; Argelis carries none. </w:t>
      </w:r>
      <w:r>
        <w:rPr>
          <w:rFonts w:ascii="Inter" w:cs="Inter" w:eastAsia="Inter" w:hAnsi="Inter"/>
          <w:b w:val="false"/>
          <w:bCs w:val="false"/>
          <w:i w:val="false"/>
          <w:iCs w:val="false"/>
          <w:caps w:val="false"/>
          <w:color w:val="05132A"/>
          <w:sz w:val="21"/>
          <w:szCs w:val="21"/>
        </w:rPr>
        <w:t xml:space="preserve">Every figure below is a planning estimate and marked "verify" — confirm each against a current Microsoft or vendor quote, and confirm nonprofit pricing (TechSoup or a Microsoft partner) at renewal. Licensing detail is set out in full in the Solution Architecture v0.4 §9.</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300"/>
        <w:gridCol w:w="2000"/>
        <w:gridCol w:w="1900"/>
        <w:gridCol w:w="2826"/>
      </w:tblGrid>
      <w:tr>
        <w:trPr>
          <w:tblHeader/>
        </w:trPr>
        <w:tc>
          <w:tcPr>
            <w:tcW w:type="dxa" w:w="23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Licence</w:t>
            </w:r>
          </w:p>
        </w:tc>
        <w:tc>
          <w:tcPr>
            <w:tcW w:type="dxa" w:w="2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Held by</w:t>
            </w:r>
          </w:p>
        </w:tc>
        <w:tc>
          <w:tcPr>
            <w:tcW w:type="dxa" w:w="19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Renewal</w:t>
            </w:r>
          </w:p>
        </w:tc>
        <w:tc>
          <w:tcPr>
            <w:tcW w:type="dxa" w:w="28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Note</w:t>
            </w:r>
          </w:p>
        </w:tc>
      </w:tr>
      <w:tr>
        <w:tc>
          <w:tcPr>
            <w:tcW w:type="dxa" w:w="2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Power Apps Premium</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Maker / service account and Emily</w:t>
            </w:r>
          </w:p>
        </w:tc>
        <w:tc>
          <w:tcPr>
            <w:tcW w:type="dxa" w:w="19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Annual (verify)</w:t>
            </w:r>
          </w:p>
        </w:tc>
        <w:tc>
          <w:tcPr>
            <w:tcW w:type="dxa" w:w="2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Two per-user seats: creates and runs the app over Dataverse. Each seat bundles 500 AI Builder credits.</w:t>
            </w:r>
          </w:p>
        </w:tc>
      </w:tr>
      <w:tr>
        <w:tc>
          <w:tcPr>
            <w:tcW w:type="dxa" w:w="2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Power Apps pay-as-you-go</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Revitalise (trustees)</w:t>
            </w:r>
          </w:p>
        </w:tc>
        <w:tc>
          <w:tcPr>
            <w:tcW w:type="dxa" w:w="19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Azure-metered, monthly (verify)</w:t>
            </w:r>
          </w:p>
        </w:tc>
        <w:tc>
          <w:tcPr>
            <w:tcW w:type="dxa" w:w="2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Bills only the trustees who log in each round. Likely outside the nonprofit staff grant.</w:t>
            </w:r>
          </w:p>
        </w:tc>
      </w:tr>
      <w:tr>
        <w:tc>
          <w:tcPr>
            <w:tcW w:type="dxa" w:w="2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Power Automate Premium</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Service account</w:t>
            </w:r>
          </w:p>
        </w:tc>
        <w:tc>
          <w:tcPr>
            <w:tcW w:type="dxa" w:w="19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Annual (verify)</w:t>
            </w:r>
          </w:p>
        </w:tc>
        <w:tc>
          <w:tcPr>
            <w:tcW w:type="dxa" w:w="2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Runs the standalone scheduled and webhook flows (HTTP intake, DocuSign, QBO, retention helper) outside the app.</w:t>
            </w:r>
          </w:p>
        </w:tc>
      </w:tr>
      <w:tr>
        <w:tc>
          <w:tcPr>
            <w:tcW w:type="dxa" w:w="2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DocuSign</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Revitalise</w:t>
            </w:r>
          </w:p>
        </w:tc>
        <w:tc>
          <w:tcPr>
            <w:tcW w:type="dxa" w:w="19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 DocuSign plan (verify)</w:t>
            </w:r>
          </w:p>
        </w:tc>
        <w:tc>
          <w:tcPr>
            <w:tcW w:type="dxa" w:w="2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Procured separately; must be in place before the acceptance workflow goes live.</w:t>
            </w:r>
          </w:p>
        </w:tc>
      </w:tr>
      <w:tr>
        <w:tc>
          <w:tcPr>
            <w:tcW w:type="dxa" w:w="23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AI Builder credits</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Bundled per Power Apps Premium seat</w:t>
            </w:r>
          </w:p>
        </w:tc>
        <w:tc>
          <w:tcPr>
            <w:tcW w:type="dxa" w:w="19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With the Power Apps seat (verify)</w:t>
            </w:r>
          </w:p>
        </w:tc>
        <w:tc>
          <w:tcPr>
            <w:tcW w:type="dxa" w:w="2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500 credits per seat may cover free-text scrubbing. Watch the 1 Nov 2026 seeded-credit change before it lapses.</w:t>
            </w:r>
          </w:p>
        </w:tc>
      </w:tr>
      <w:tr>
        <w:tc>
          <w:tcPr>
            <w:tcW w:type="dxa" w:w="23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M365 Business Premium</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Revitalise</w:t>
            </w:r>
          </w:p>
        </w:tc>
        <w:tc>
          <w:tcPr>
            <w:tcW w:type="dxa" w:w="19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Annual (verify)</w:t>
            </w:r>
          </w:p>
        </w:tc>
        <w:tc>
          <w:tcPr>
            <w:tcW w:type="dxa" w:w="2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The base plan: standard connectors, SharePoint document library, Outlook, Teams, basic Purview labels.</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4. Monitoring</w:t>
      </w:r>
    </w:p>
    <w:p>
      <w:pPr>
        <w:spacing w:after="160" w:before="0" w:line="276"/>
        <w:jc w:val="left"/>
      </w:pPr>
      <w:r>
        <w:rPr>
          <w:rFonts w:ascii="Inter" w:cs="Inter" w:eastAsia="Inter" w:hAnsi="Inter"/>
          <w:b w:val="false"/>
          <w:bCs w:val="false"/>
          <w:i w:val="false"/>
          <w:iCs w:val="false"/>
          <w:caps w:val="false"/>
          <w:color w:val="05132A"/>
          <w:sz w:val="21"/>
          <w:szCs w:val="21"/>
        </w:rPr>
        <w:t xml:space="preserve">Monitoring keeps the process owner informed without needing to watch the platform constantly. Failures across every flow are written to the Error Log table and raised to Emily — and to Argelis during early-life support — by the REV | Ops | Failure Alert flow, backed by native Power Automate run history and Dataverse field-change auditing. The rest is a short recurring check. The table below sets out what to watch, how, how often, and who is responsible.</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2600"/>
        <w:gridCol w:w="3126"/>
        <w:gridCol w:w="1500"/>
        <w:gridCol w:w="1800"/>
      </w:tblGrid>
      <w:tr>
        <w:trPr>
          <w:tblHeader/>
        </w:trPr>
        <w:tc>
          <w:tcPr>
            <w:tcW w:type="dxa" w:w="26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What to watch</w:t>
            </w:r>
          </w:p>
        </w:tc>
        <w:tc>
          <w:tcPr>
            <w:tcW w:type="dxa" w:w="31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How</w:t>
            </w:r>
          </w:p>
        </w:tc>
        <w:tc>
          <w:tcPr>
            <w:tcW w:type="dxa" w:w="15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Cadence</w:t>
            </w:r>
          </w:p>
        </w:tc>
        <w:tc>
          <w:tcPr>
            <w:tcW w:type="dxa" w:w="18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Who</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Flow run history and failures</w:t>
            </w:r>
          </w:p>
        </w:tc>
        <w:tc>
          <w:tcPr>
            <w:tcW w:type="dxa" w:w="31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Failure alerts sent to Emily via Teams / email, configured on every inbound flow</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On failure; review weekly</w:t>
            </w:r>
          </w:p>
        </w:tc>
        <w:tc>
          <w:tcPr>
            <w:tcW w:type="dxa" w:w="18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Error Log</w:t>
            </w:r>
          </w:p>
        </w:tc>
        <w:tc>
          <w:tcPr>
            <w:tcW w:type="dxa" w:w="31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Review new Error Log entries and clear or escalate them</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Weekly</w:t>
            </w:r>
          </w:p>
        </w:tc>
        <w:tc>
          <w:tcPr>
            <w:tcW w:type="dxa" w:w="18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AI Builder credit consumption</w:t>
            </w:r>
          </w:p>
        </w:tc>
        <w:tc>
          <w:tcPr>
            <w:tcW w:type="dxa" w:w="31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Check credit balance in the Power Platform admin view</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Monthly, and before 1 Nov 2026</w:t>
            </w:r>
          </w:p>
        </w:tc>
        <w:tc>
          <w:tcPr>
            <w:tcW w:type="dxa" w:w="18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 / Argelis</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DocuSign envelope status</w:t>
            </w:r>
          </w:p>
        </w:tc>
        <w:tc>
          <w:tcPr>
            <w:tcW w:type="dxa" w:w="31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Envelope status surfaced on the Grant record and in the acceptance flow</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Per applicant round</w:t>
            </w:r>
          </w:p>
        </w:tc>
        <w:tc>
          <w:tcPr>
            <w:tcW w:type="dxa" w:w="18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r>
      <w:tr>
        <w:tc>
          <w:tcPr>
            <w:tcW w:type="dxa" w:w="26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Dataverse retention bulk-delete job</w:t>
            </w:r>
          </w:p>
        </w:tc>
        <w:tc>
          <w:tcPr>
            <w:tcW w:type="dxa" w:w="31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Confirm the monthly scheduled bulk-delete job ran and completed</w:t>
            </w:r>
          </w:p>
        </w:tc>
        <w:tc>
          <w:tcPr>
            <w:tcW w:type="dxa" w:w="15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Monthly</w:t>
            </w:r>
          </w:p>
        </w:tc>
        <w:tc>
          <w:tcPr>
            <w:tcW w:type="dxa" w:w="18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r>
      <w:tr>
        <w:tc>
          <w:tcPr>
            <w:tcW w:type="dxa" w:w="26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Daily scoring-summary flow</w:t>
            </w:r>
          </w:p>
        </w:tc>
        <w:tc>
          <w:tcPr>
            <w:tcW w:type="dxa" w:w="31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Confirm the daily scoring-summary flow delivered its summary</w:t>
            </w:r>
          </w:p>
        </w:tc>
        <w:tc>
          <w:tcPr>
            <w:tcW w:type="dxa" w:w="15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Daily</w:t>
            </w:r>
          </w:p>
        </w:tc>
        <w:tc>
          <w:tcPr>
            <w:tcW w:type="dxa" w:w="18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5. Incident and escalation</w:t>
      </w:r>
    </w:p>
    <w:p>
      <w:pPr>
        <w:spacing w:after="160" w:before="0" w:line="276"/>
        <w:jc w:val="left"/>
      </w:pPr>
      <w:r>
        <w:rPr>
          <w:rFonts w:ascii="Inter" w:cs="Inter" w:eastAsia="Inter" w:hAnsi="Inter"/>
          <w:b w:val="false"/>
          <w:bCs w:val="false"/>
          <w:i w:val="false"/>
          <w:iCs w:val="false"/>
          <w:caps w:val="false"/>
          <w:color w:val="05132A"/>
          <w:sz w:val="21"/>
          <w:szCs w:val="21"/>
        </w:rPr>
        <w:t xml:space="preserve">Escalation routes depend on the type of problem. Emily is the first responder for operational issues and decides whether a problem is a logic fault (Argelis), a tenant or identity fault (Wanstor), or a data-protection matter (the DPO). A suspected personal-data breach follows a separate, faster route.</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3000"/>
        <w:gridCol w:w="2000"/>
        <w:gridCol w:w="4026"/>
      </w:tblGrid>
      <w:tr>
        <w:trPr>
          <w:tblHeader/>
        </w:trPr>
        <w:tc>
          <w:tcPr>
            <w:tcW w:type="dxa" w:w="3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Situation</w:t>
            </w:r>
          </w:p>
        </w:tc>
        <w:tc>
          <w:tcPr>
            <w:tcW w:type="dxa" w:w="20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First responder</w:t>
            </w:r>
          </w:p>
        </w:tc>
        <w:tc>
          <w:tcPr>
            <w:tcW w:type="dxa" w:w="40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Escalates to</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Flow failure</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Argelis for flow logic, or Wanstor for tenant / identity (connection, service account, Conditional Access).</w:t>
            </w:r>
          </w:p>
        </w:tc>
      </w:tr>
      <w:tr>
        <w:tc>
          <w:tcPr>
            <w:tcW w:type="dxa" w:w="3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Data-protection incident or suspected breach</w:t>
            </w:r>
          </w:p>
        </w:tc>
        <w:tc>
          <w:tcPr>
            <w:tcW w:type="dxa" w:w="20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c>
          <w:tcPr>
            <w:tcW w:type="dxa" w:w="40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The DPO, then Revitalise as controller. UK GDPR sets a 72-hour awareness clock; Revitalise owns any reporting to the ICO.</w:t>
            </w:r>
          </w:p>
        </w:tc>
      </w:tr>
      <w:tr>
        <w:tc>
          <w:tcPr>
            <w:tcW w:type="dxa" w:w="3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Licence lapse or seat shortage</w:t>
            </w:r>
          </w:p>
        </w:tc>
        <w:tc>
          <w:tcPr>
            <w:tcW w:type="dxa" w:w="20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Emily</w:t>
            </w:r>
          </w:p>
        </w:tc>
        <w:tc>
          <w:tcPr>
            <w:tcW w:type="dxa" w:w="40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Wanstor to reassign or procure the licence.</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6. Change management</w:t>
      </w:r>
    </w:p>
    <w:p>
      <w:pPr>
        <w:spacing w:after="160" w:before="0" w:line="276"/>
        <w:jc w:val="left"/>
      </w:pPr>
      <w:r>
        <w:rPr>
          <w:rFonts w:ascii="Inter" w:cs="Inter" w:eastAsia="Inter" w:hAnsi="Inter"/>
          <w:b w:val="false"/>
          <w:bCs w:val="false"/>
          <w:i w:val="false"/>
          <w:iCs w:val="false"/>
          <w:caps w:val="false"/>
          <w:color w:val="05132A"/>
          <w:sz w:val="21"/>
          <w:szCs w:val="21"/>
        </w:rPr>
        <w:t xml:space="preserve">Changes fall into three bands, each with its own route.</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Routine configuration. </w:t>
      </w:r>
      <w:r>
        <w:rPr>
          <w:rFonts w:ascii="Inter" w:cs="Inter" w:eastAsia="Inter" w:hAnsi="Inter"/>
          <w:b w:val="false"/>
          <w:bCs w:val="false"/>
          <w:i w:val="false"/>
          <w:iCs w:val="false"/>
          <w:caps w:val="false"/>
          <w:color w:val="05132A"/>
          <w:sz w:val="21"/>
          <w:szCs w:val="21"/>
        </w:rPr>
        <w:t xml:space="preserve">Thresholds, email templates and field mappings are held in the Settings table and environment variables. Emily changes these herself, without code and without a release.</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Anything touching flows, tables or roles. </w:t>
      </w:r>
      <w:r>
        <w:rPr>
          <w:rFonts w:ascii="Inter" w:cs="Inter" w:eastAsia="Inter" w:hAnsi="Inter"/>
          <w:b w:val="false"/>
          <w:bCs w:val="false"/>
          <w:i w:val="false"/>
          <w:iCs w:val="false"/>
          <w:caps w:val="false"/>
          <w:color w:val="05132A"/>
          <w:sz w:val="21"/>
          <w:szCs w:val="21"/>
        </w:rPr>
        <w:t xml:space="preserve">Goes through the ALM Runbook (WBS 0.6): built and tested in Development, then promoted to Production as a managed solution using Power Platform Pipelines.</w:t>
      </w:r>
    </w:p>
    <w:p>
      <w:pPr>
        <w:pStyle w:val="ListParagraph"/>
        <w:numPr>
          <w:ilvl w:val="0"/>
          <w:numId w:val="2"/>
        </w:numPr>
        <w:spacing w:after="90" w:line="264"/>
      </w:pPr>
      <w:r>
        <w:rPr>
          <w:rFonts w:ascii="Inter" w:cs="Inter" w:eastAsia="Inter" w:hAnsi="Inter"/>
          <w:b/>
          <w:bCs/>
          <w:i w:val="false"/>
          <w:iCs w:val="false"/>
          <w:caps w:val="false"/>
          <w:color w:val="05132A"/>
          <w:sz w:val="21"/>
          <w:szCs w:val="21"/>
        </w:rPr>
        <w:t xml:space="preserve">Role or field-level-security changes. </w:t>
      </w:r>
      <w:r>
        <w:rPr>
          <w:rFonts w:ascii="Inter" w:cs="Inter" w:eastAsia="Inter" w:hAnsi="Inter"/>
          <w:b w:val="false"/>
          <w:bCs w:val="false"/>
          <w:i w:val="false"/>
          <w:iCs w:val="false"/>
          <w:caps w:val="false"/>
          <w:color w:val="05132A"/>
          <w:sz w:val="21"/>
          <w:szCs w:val="21"/>
        </w:rPr>
        <w:t xml:space="preserve">Follow the Security Model (WBS 0.5). Where a change alters who can see health data, it needs DPO sign-off before it is applied.</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7. Backup, retention and erasure operations</w:t>
      </w:r>
    </w:p>
    <w:p>
      <w:pPr>
        <w:spacing w:after="160" w:before="0" w:line="276"/>
        <w:jc w:val="left"/>
      </w:pPr>
      <w:r>
        <w:rPr>
          <w:rFonts w:ascii="Inter" w:cs="Inter" w:eastAsia="Inter" w:hAnsi="Inter"/>
          <w:b w:val="false"/>
          <w:bCs w:val="false"/>
          <w:i w:val="false"/>
          <w:iCs w:val="false"/>
          <w:caps w:val="false"/>
          <w:color w:val="05132A"/>
          <w:sz w:val="21"/>
          <w:szCs w:val="21"/>
        </w:rPr>
        <w:t xml:space="preserve">Retention and erasure are defined in full in the Data Governance Framework (WBS 0.7). This section covers only the recurring operational duties.</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Each month, confirm the native Dataverse retention bulk-delete job ran and completed, alongside the monitoring check in section 4.</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Emily handles erasure requests (UK GDPR Art 17) on demand through the retention and erasure helper flow, applying the legal-hold carve-out where a record must be kept.</w:t>
      </w:r>
    </w:p>
    <w:p>
      <w:pPr>
        <w:pStyle w:val="ListParagraph"/>
        <w:numPr>
          <w:ilvl w:val="0"/>
          <w:numId w:val="2"/>
        </w:numPr>
        <w:spacing w:after="90" w:line="264"/>
      </w:pPr>
      <w:r>
        <w:rPr>
          <w:rFonts w:ascii="Inter" w:cs="Inter" w:eastAsia="Inter" w:hAnsi="Inter"/>
          <w:b w:val="false"/>
          <w:bCs w:val="false"/>
          <w:i w:val="false"/>
          <w:iCs w:val="false"/>
          <w:caps w:val="false"/>
          <w:color w:val="05132A"/>
          <w:sz w:val="21"/>
          <w:szCs w:val="21"/>
        </w:rPr>
        <w:t xml:space="preserve">Review the deletion log on a quarterly cadence [TBC — confirm cadence with the DPO] to confirm deletions match the schedule and to support accountability (UK GDPR Art 5(2)).</w:t>
      </w:r>
    </w:p>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8. Handover checklist</w:t>
      </w:r>
    </w:p>
    <w:p>
      <w:pPr>
        <w:spacing w:after="160" w:before="0" w:line="276"/>
        <w:jc w:val="left"/>
      </w:pPr>
      <w:r>
        <w:rPr>
          <w:rFonts w:ascii="Inter" w:cs="Inter" w:eastAsia="Inter" w:hAnsi="Inter"/>
          <w:b w:val="false"/>
          <w:bCs w:val="false"/>
          <w:i w:val="false"/>
          <w:iCs w:val="false"/>
          <w:caps w:val="false"/>
          <w:color w:val="05132A"/>
          <w:sz w:val="21"/>
          <w:szCs w:val="21"/>
        </w:rPr>
        <w:t xml:space="preserve">These items must be true before the solution is handed to Revitalise for ongoing management. Status is recorded at handover.</w:t>
      </w:r>
    </w:p>
    <w:tbl>
      <w:tblPr>
        <w:tblW w:type="dxa" w:w="9026"/>
        <w:tblBorders>
          <w:top w:val="single" w:color="D9DDE3" w:sz="4"/>
          <w:left w:val="single" w:color="D9DDE3" w:sz="4"/>
          <w:bottom w:val="single" w:color="D9DDE3" w:sz="4"/>
          <w:right w:val="single" w:color="D9DDE3" w:sz="4"/>
          <w:insideH w:val="single" w:color="D9DDE3" w:sz="4"/>
          <w:insideV w:val="single" w:color="D9DDE3" w:sz="4"/>
        </w:tblBorders>
      </w:tblPr>
      <w:tblGrid>
        <w:gridCol w:w="6826"/>
        <w:gridCol w:w="2200"/>
      </w:tblGrid>
      <w:tr>
        <w:trPr>
          <w:tblHeader/>
        </w:trPr>
        <w:tc>
          <w:tcPr>
            <w:tcW w:type="dxa" w:w="6826"/>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Item</w:t>
            </w:r>
          </w:p>
        </w:tc>
        <w:tc>
          <w:tcPr>
            <w:tcW w:type="dxa" w:w="2200"/>
            <w:shd w:fill="05132A" w:color="auto" w:val="clear"/>
            <w:tcMar>
              <w:top w:type="dxa" w:w="80"/>
              <w:left w:type="dxa" w:w="110"/>
              <w:bottom w:type="dxa" w:w="80"/>
              <w:right w:type="dxa" w:w="110"/>
            </w:tcMar>
          </w:tcPr>
          <w:p>
            <w:pPr>
              <w:spacing w:after="0" w:line="252"/>
            </w:pPr>
            <w:r>
              <w:rPr>
                <w:rFonts w:ascii="Montserrat" w:cs="Montserrat" w:eastAsia="Montserrat" w:hAnsi="Montserrat"/>
                <w:b/>
                <w:bCs/>
                <w:i w:val="false"/>
                <w:iCs w:val="false"/>
                <w:caps w:val="false"/>
                <w:color w:val="FFFFFF"/>
                <w:sz w:val="19"/>
                <w:szCs w:val="19"/>
              </w:rPr>
              <w:t xml:space="preserve">Status</w:t>
            </w:r>
          </w:p>
        </w:tc>
      </w:tr>
      <w:tr>
        <w:tc>
          <w:tcPr>
            <w:tcW w:type="dxa" w:w="6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Service account and connection credentials held in the credential store</w:t>
            </w:r>
          </w:p>
        </w:tc>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Licences assigned and renewals diarised</w:t>
            </w:r>
          </w:p>
        </w:tc>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Security roles and field-level security in place, with DPO sign-off filed</w:t>
            </w:r>
          </w:p>
        </w:tc>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DLP policy applied to both the Development and Production environments</w:t>
            </w:r>
          </w:p>
        </w:tc>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Monitoring alerts configured on every inbound flow</w:t>
            </w:r>
          </w:p>
        </w:tc>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Error Log table and REV | Ops | Failure Alert flow in place; failure alerts tested</w:t>
            </w:r>
          </w:p>
        </w:tc>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Release log started (ALM runbook, WBS 0.6)</w:t>
            </w:r>
          </w:p>
        </w:tc>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Security model (0.5), ALM runbook (0.6) and data governance framework (0.7) delivered and accepted</w:t>
            </w:r>
          </w:p>
        </w:tc>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Training walkthroughs completed with Emily and trustees</w:t>
            </w:r>
          </w:p>
        </w:tc>
        <w:tc>
          <w:tcPr>
            <w:tcW w:type="dxa" w:w="2200"/>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r>
        <w:tc>
          <w:tcPr>
            <w:tcW w:type="dxa" w:w="6826"/>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Support and contact routes agreed</w:t>
            </w:r>
          </w:p>
        </w:tc>
        <w:tc>
          <w:tcPr>
            <w:tcW w:type="dxa" w:w="2200"/>
            <w:shd w:fill="F7F5F2" w:color="auto" w:val="clear"/>
            <w:tcMar>
              <w:top w:type="dxa" w:w="70"/>
              <w:left w:type="dxa" w:w="110"/>
              <w:bottom w:type="dxa" w:w="70"/>
              <w:right w:type="dxa" w:w="110"/>
            </w:tcMar>
          </w:tcPr>
          <w:p>
            <w:pPr>
              <w:spacing w:after="0" w:line="250"/>
            </w:pPr>
            <w:r>
              <w:rPr>
                <w:rFonts w:ascii="Inter" w:cs="Inter" w:eastAsia="Inter" w:hAnsi="Inter"/>
                <w:b w:val="false"/>
                <w:bCs w:val="false"/>
                <w:i w:val="false"/>
                <w:iCs w:val="false"/>
                <w:caps w:val="false"/>
                <w:color w:val="05132A"/>
                <w:sz w:val="19"/>
                <w:szCs w:val="19"/>
              </w:rPr>
              <w:t xml:space="preserve">[TBC]</w:t>
            </w:r>
          </w:p>
        </w:tc>
      </w:tr>
    </w:tbl>
    <w:p>
      <w:pPr>
        <w:pStyle w:val="Heading1"/>
        <w:pBdr>
          <w:bottom w:val="single" w:color="C99A52" w:sz="12" w:space="6"/>
        </w:pBdr>
        <w:spacing w:after="160" w:before="360"/>
      </w:pPr>
      <w:r>
        <w:rPr>
          <w:rFonts w:ascii="Montserrat" w:cs="Montserrat" w:eastAsia="Montserrat" w:hAnsi="Montserrat"/>
          <w:b/>
          <w:bCs/>
          <w:i w:val="false"/>
          <w:iCs w:val="false"/>
          <w:caps w:val="false"/>
          <w:color w:val="05132A"/>
          <w:sz w:val="30"/>
          <w:szCs w:val="30"/>
        </w:rPr>
        <w:t xml:space="preserve">9. Review cadence</w:t>
      </w:r>
    </w:p>
    <w:p>
      <w:pPr>
        <w:spacing w:after="160" w:before="0" w:line="276"/>
        <w:jc w:val="left"/>
      </w:pPr>
      <w:r>
        <w:rPr>
          <w:rFonts w:ascii="Inter" w:cs="Inter" w:eastAsia="Inter" w:hAnsi="Inter"/>
          <w:b w:val="false"/>
          <w:bCs w:val="false"/>
          <w:i w:val="false"/>
          <w:iCs w:val="false"/>
          <w:caps w:val="false"/>
          <w:color w:val="05132A"/>
          <w:sz w:val="21"/>
          <w:szCs w:val="21"/>
        </w:rPr>
        <w:t xml:space="preserve">This runbook is reviewed annually, and also whenever there is a change to the Privacy Notice, the retention schedule, the connector set, or the team running the solution. The DPO confirms that any change affecting personal or health data has been signed off before it takes effect.</w:t>
      </w:r>
    </w:p>
    <w:p>
      <w:pPr>
        <w:pBdr>
          <w:top w:val="single" w:color="C99A52" w:sz="8" w:space="8"/>
        </w:pBdr>
        <w:spacing w:after="0" w:before="480"/>
      </w:pPr>
      <w:r>
        <w:rPr>
          <w:rFonts w:ascii="Inter" w:cs="Inter" w:eastAsia="Inter" w:hAnsi="Inter"/>
          <w:b w:val="false"/>
          <w:bCs w:val="false"/>
          <w:i/>
          <w:iCs/>
          <w:caps w:val="false"/>
          <w:color w:val="8A9099"/>
          <w:sz w:val="18"/>
          <w:szCs w:val="18"/>
        </w:rPr>
        <w:t xml:space="preserve">Prepared by Xander Lykopoulos · Argelis Consultancy · Architectuur tussen ambitie en IT</w:t>
      </w:r>
    </w:p>
    <w:sectPr>
      <w:footerReference w:type="default" r:id="rId7"/>
      <w:pgSz w:w="11906" w:h="16838" w:orient="portrait"/>
      <w:pgMar w:top="1440" w:right="1440" w:bottom="1440" w:left="1440" w:header="708" w:footer="708" w:gutter="0"/>
      <w:pgNumType/>
      <w:docGrid w:linePitch="360"/>
    </w:sectPr>
  </w:body>
</w:document>
</file>

<file path=word/comments.xml><?xml version="1.0" encoding="utf-8"?>
<w:comment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endnote w:type="separator" w:id="-1">
    <w:p>
      <w:pPr>
        <w:spacing w:after="0" w:line="240" w:lineRule="auto"/>
      </w:pPr>
      <w:r>
        <w:rPr>
          <w:rStyle w:val="EndnoteReference"/>
        </w:rPr>
        <w:endnoteRef/>
      </w:r>
      <w:r>
        <w:separator/>
      </w:r>
    </w:p>
  </w:endnote>
  <w:endnote w:type="continuationSeparator" w:id="0">
    <w:p>
      <w:pPr>
        <w:spacing w:after="0" w:line="240" w:lineRule="auto"/>
      </w:pPr>
      <w:r>
        <w:rPr>
          <w:rStyle w:val="EndnoteReference"/>
        </w:rPr>
        <w:endnoteRef/>
      </w: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w:p>
    <w:pPr>
      <w:pBdr>
        <w:top w:val="single" w:color="D9DDE3" w:sz="3" w:space="6"/>
      </w:pBdr>
      <w:tabs>
        <w:tab w:val="right" w:pos="9026"/>
      </w:tabs>
      <w:spacing w:before="60"/>
    </w:pPr>
    <w:r>
      <w:rPr>
        <w:rFonts w:ascii="Inter" w:cs="Inter" w:eastAsia="Inter" w:hAnsi="Inter"/>
        <w:b w:val="false"/>
        <w:bCs w:val="false"/>
        <w:i w:val="false"/>
        <w:iCs w:val="false"/>
        <w:caps w:val="false"/>
        <w:color w:val="8A9099"/>
        <w:sz w:val="15"/>
        <w:szCs w:val="15"/>
      </w:rPr>
      <w:t xml:space="preserve">Argelis Consultancy</w:t>
    </w:r>
    <w:r>
      <w:rPr>
        <w:rFonts w:ascii="Inter" w:cs="Inter" w:eastAsia="Inter" w:hAnsi="Inter"/>
      </w:rPr>
      <w:t xml:space="preserve">	</w:t>
    </w:r>
    <w:r>
      <w:rPr>
        <w:rFonts w:ascii="Inter" w:cs="Inter" w:eastAsia="Inter" w:hAnsi="Inter"/>
        <w:color w:val="8A9099"/>
        <w:sz w:val="15"/>
        <w:szCs w:val="15"/>
      </w:rPr>
      <w:t xml:space="preserve">Governance Runbook — Revitalise Grant Automation  ·  v0.1 — Draft · Confidential · Page </w:t>
      <w:fldChar w:fldCharType="begin"/>
      <w:instrText xml:space="preserve">PAGE</w:instrText>
      <w:fldChar w:fldCharType="separate"/>
      <w:fldChar w:fldCharType="end"/>
    </w: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footnote w:type="separator" w:id="-1">
    <w:p>
      <w:pPr>
        <w:spacing w:after="0" w:line="240" w:lineRule="auto"/>
      </w:pPr>
      <w:r>
        <w:rPr>
          <w:rStyle w:val="FootnoteReference"/>
        </w:rPr>
        <w:footnoteRef/>
      </w:r>
      <w:r>
        <w:separator/>
      </w:r>
    </w:p>
  </w:footnote>
  <w:footnote w:type="continuationSeparator" w:id="0">
    <w:p>
      <w:pPr>
        <w:spacing w:after="0" w:line="240" w:lineRule="auto"/>
      </w:pPr>
      <w:r>
        <w:rPr>
          <w:rStyle w:val="FootnoteReference"/>
        </w:rPr>
        <w:footnoteRef/>
      </w:r>
      <w:r>
        <w:continuationSeparator/>
      </w:r>
    </w:p>
  </w:footnote>
</w:footnotes>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abstractNum w:abstractNumId="1" w15:restartNumberingAfterBreak="0">
    <w:multiLevelType w:val="hybridMultilevel"/>
    <w:lvl w:ilvl="0" w15:tentative="1">
      <w:start w:val="1"/>
      <w:numFmt w:val="bullet"/>
      <w:lvlText w:val="●"/>
      <w:lvlJc w:val="left"/>
      <w:pPr>
        <w:ind w:left="720" w:hanging="360"/>
      </w:pPr>
    </w:lvl>
    <w:lvl w:ilvl="1" w15:tentative="1">
      <w:start w:val="1"/>
      <w:numFmt w:val="bullet"/>
      <w:lvlText w:val="○"/>
      <w:lvlJc w:val="left"/>
      <w:pPr>
        <w:ind w:left="1440" w:hanging="360"/>
      </w:pPr>
    </w:lvl>
    <w:lvl w:ilvl="2" w15:tentative="1">
      <w:start w:val="1"/>
      <w:numFmt w:val="bullet"/>
      <w:lvlText w:val="■"/>
      <w:lvlJc w:val="left"/>
      <w:pPr>
        <w:ind w:left="2160" w:hanging="360"/>
      </w:pPr>
    </w:lvl>
    <w:lvl w:ilvl="3" w15:tentative="1">
      <w:start w:val="1"/>
      <w:numFmt w:val="bullet"/>
      <w:lvlText w:val="●"/>
      <w:lvlJc w:val="left"/>
      <w:pPr>
        <w:ind w:left="2880" w:hanging="360"/>
      </w:pPr>
    </w:lvl>
    <w:lvl w:ilvl="4" w15:tentative="1">
      <w:start w:val="1"/>
      <w:numFmt w:val="bullet"/>
      <w:lvlText w:val="○"/>
      <w:lvlJc w:val="left"/>
      <w:pPr>
        <w:ind w:left="3600" w:hanging="360"/>
      </w:pPr>
    </w:lvl>
    <w:lvl w:ilvl="5" w15:tentative="1">
      <w:start w:val="1"/>
      <w:numFmt w:val="bullet"/>
      <w:lvlText w:val="■"/>
      <w:lvlJc w:val="left"/>
      <w:pPr>
        <w:ind w:left="4320" w:hanging="360"/>
      </w:pPr>
    </w:lvl>
    <w:lvl w:ilvl="6" w15:tentative="1">
      <w:start w:val="1"/>
      <w:numFmt w:val="bullet"/>
      <w:lvlText w:val="●"/>
      <w:lvlJc w:val="left"/>
      <w:pPr>
        <w:ind w:left="5040" w:hanging="360"/>
      </w:pPr>
    </w:lvl>
    <w:lvl w:ilvl="7" w15:tentative="1">
      <w:start w:val="1"/>
      <w:numFmt w:val="bullet"/>
      <w:lvlText w:val="●"/>
      <w:lvlJc w:val="left"/>
      <w:pPr>
        <w:ind w:left="5760" w:hanging="360"/>
      </w:pPr>
    </w:lvl>
    <w:lvl w:ilvl="8" w15:tentative="1">
      <w:start w:val="1"/>
      <w:numFmt w:val="bullet"/>
      <w:lvlText w:val="●"/>
      <w:lvlJc w:val="left"/>
      <w:pPr>
        <w:ind w:left="6480" w:hanging="360"/>
      </w:pPr>
    </w:lvl>
  </w:abstractNum>
  <w:abstractNum w:abstractNumId="2" w15:restartNumberingAfterBreak="0">
    <w:multiLevelType w:val="hybridMultilevel"/>
    <w:lvl w:ilvl="0" w15:tentative="1">
      <w:start w:val="1"/>
      <w:numFmt w:val="bullet"/>
      <w:lvlText w:val="•"/>
      <w:lvlJc w:val="left"/>
      <w:pPr>
        <w:ind w:left="360" w:hanging="220"/>
      </w:pPr>
      <w:rPr>
        <w:color w:val="C99A52"/>
      </w:rPr>
    </w:lvl>
  </w:abstractNum>
  <w:abstractNum w:abstractNumId="3" w15:restartNumberingAfterBreak="0">
    <w:multiLevelType w:val="hybridMultilevel"/>
    <w:lvl w:ilvl="0" w15:tentative="1">
      <w:start w:val="1"/>
      <w:numFmt w:val="decimal"/>
      <w:lvlText w:val="%1."/>
      <w:lvlJc w:val="left"/>
      <w:pPr>
        <w:ind w:left="360" w:hanging="220"/>
      </w:pPr>
    </w:lvl>
  </w:abstractNum>
  <w:num w:numId="1">
    <w:abstractNumId w:val="1"/>
    <w:lvlOverride w:ilvl="0">
      <w:startOverride w:val="1"/>
    </w:lvlOverride>
  </w:num>
  <w:num w:numId="2">
    <w:abstractNumId w:val="2"/>
    <w:lvlOverride w:ilvl="0">
      <w:startOverride w:val="1"/>
    </w:lvlOverride>
  </w:num>
</w:numbering>
</file>

<file path=word/settings.xml><?xml version="1.0" encoding="utf-8"?>
<w:setting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displayBackgroundShape/>
  <w:evenAndOddHeaders w:val="false"/>
  <w:compat>
    <w:compatSetting w:val="15" w:name="compatibilityMode" w:uri="http://schemas.microsoft.com/office/word"/>
  </w:compat>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Inter" w:cs="Inter" w:eastAsia="Inter" w:hAnsi="Inter"/>
        <w:color w:val="05132A"/>
        <w:sz w:val="21"/>
        <w:szCs w:val="21"/>
      </w:rPr>
    </w:rPrDefault>
    <w:pPrDefault/>
  </w:docDefaults>
  <w:style w:type="paragraph" w:styleId="Title">
    <w:name w:val="Title"/>
    <w:basedOn w:val="Normal"/>
    <w:next w:val="Normal"/>
    <w:qFormat/>
    <w:rPr>
      <w:sz w:val="56"/>
      <w:szCs w:val="56"/>
    </w:rPr>
  </w:style>
  <w:style w:type="paragraph" w:styleId="Heading1">
    <w:name w:val="Heading 1"/>
    <w:basedOn w:val="Normal"/>
    <w:next w:val="Normal"/>
    <w:qFormat/>
    <w:rPr>
      <w:color w:val="2E74B5"/>
      <w:sz w:val="32"/>
      <w:szCs w:val="32"/>
    </w:rPr>
  </w:style>
  <w:style w:type="paragraph" w:styleId="Heading2">
    <w:name w:val="Heading 2"/>
    <w:basedOn w:val="Normal"/>
    <w:next w:val="Normal"/>
    <w:qFormat/>
    <w:rPr>
      <w:color w:val="2E74B5"/>
      <w:sz w:val="26"/>
      <w:szCs w:val="26"/>
    </w:rPr>
  </w:style>
  <w:style w:type="paragraph" w:styleId="Heading3">
    <w:name w:val="Heading 3"/>
    <w:basedOn w:val="Normal"/>
    <w:next w:val="Normal"/>
    <w:qFormat/>
    <w:rPr>
      <w:color w:val="1F4D78"/>
      <w:sz w:val="24"/>
      <w:szCs w:val="24"/>
    </w:rPr>
  </w:style>
  <w:style w:type="paragraph" w:styleId="Heading4">
    <w:name w:val="Heading 4"/>
    <w:basedOn w:val="Normal"/>
    <w:next w:val="Normal"/>
    <w:qFormat/>
    <w:rPr>
      <w:i/>
      <w:iCs/>
      <w:color w:val="2E74B5"/>
    </w:rPr>
  </w:style>
  <w:style w:type="paragraph" w:styleId="Heading5">
    <w:name w:val="Heading 5"/>
    <w:basedOn w:val="Normal"/>
    <w:next w:val="Normal"/>
    <w:qFormat/>
    <w:rPr>
      <w:color w:val="2E74B5"/>
    </w:rPr>
  </w:style>
  <w:style w:type="paragraph" w:styleId="Heading6">
    <w:name w:val="Heading 6"/>
    <w:basedOn w:val="Normal"/>
    <w:next w:val="Normal"/>
    <w:qFormat/>
    <w:rPr>
      <w:color w:val="1F4D78"/>
    </w:rPr>
  </w:style>
  <w:style w:type="paragraph" w:styleId="Strong">
    <w:name w:val="Strong"/>
    <w:basedOn w:val="Normal"/>
    <w:next w:val="Normal"/>
    <w:qFormat/>
    <w:rPr>
      <w:b/>
      <w:bCs/>
    </w:rPr>
  </w:style>
  <w:style w:type="paragraph" w:styleId="ListParagraph">
    <w:name w:val="List Paragraph"/>
    <w:basedOn w:val="Normal"/>
    <w:qFormat/>
  </w:style>
  <w:style w:type="character" w:styleId="Hyperlink">
    <w:name w:val="Hyperlink"/>
    <w:basedOn w:val="DefaultParagraphFont"/>
    <w:uiPriority w:val="99"/>
    <w:unhideWhenUsed/>
    <w:rPr>
      <w:color w:val="0563C1"/>
      <w:u w:val="single"/>
    </w:rPr>
  </w:style>
  <w:style w:type="character" w:styleId="FootnoteReference">
    <w:name w:val="footnote reference"/>
    <w:basedOn w:val="DefaultParagraphFont"/>
    <w:uiPriority w:val="99"/>
    <w:semiHidden/>
    <w:unhideWhenUsed/>
    <w:rPr>
      <w:vertAlign w:val="superscript"/>
    </w:rPr>
  </w:style>
  <w:style w:type="paragraph" w:styleId="FootnoteText">
    <w:name w:val="footnote text"/>
    <w:basedOn w:val="Normal"/>
    <w:link w:val="FootnoteTextChar"/>
    <w:uiPriority w:val="99"/>
    <w:semiHidden/>
    <w:unhideWhenUsed/>
    <w:pPr>
      <w:spacing w:after="0" w:line="240" w:lineRule="auto"/>
    </w:pPr>
    <w:rPr>
      <w:sz w:val="20"/>
      <w:szCs w:val="20"/>
    </w:rPr>
  </w:style>
  <w:style w:type="character" w:styleId="FootnoteTextChar">
    <w:name w:val="Footnote Text Char"/>
    <w:basedOn w:val="DefaultParagraphFont"/>
    <w:link w:val="FootnoteText"/>
    <w:uiPriority w:val="99"/>
    <w:semiHidden/>
    <w:unhideWhenUsed/>
    <w:rPr>
      <w:sz w:val="20"/>
      <w:szCs w:val="20"/>
    </w:rPr>
  </w:style>
  <w:style w:type="character" w:styleId="EndnoteReference">
    <w:name w:val="endnote reference"/>
    <w:basedOn w:val="DefaultParagraphFont"/>
    <w:uiPriority w:val="99"/>
    <w:semiHidden/>
    <w:unhideWhenUsed/>
    <w:rPr>
      <w:vertAlign w:val="superscript"/>
    </w:rPr>
  </w:style>
  <w:style w:type="paragraph" w:styleId="EndnoteText">
    <w:name w:val="endnote text"/>
    <w:basedOn w:val="Normal"/>
    <w:link w:val="EndnoteTextChar"/>
    <w:uiPriority w:val="99"/>
    <w:semiHidden/>
    <w:unhideWhenUsed/>
    <w:pPr>
      <w:spacing w:after="0" w:line="240" w:lineRule="auto"/>
    </w:pPr>
    <w:rPr>
      <w:sz w:val="20"/>
      <w:szCs w:val="20"/>
    </w:rPr>
  </w:style>
  <w:style w:type="character" w:styleId="EndnoteTextChar">
    <w:name w:val="Endnote Text Char"/>
    <w:basedOn w:val="DefaultParagraphFont"/>
    <w:link w:val="EndnoteText"/>
    <w:uiPriority w:val="99"/>
    <w:semiHidden/>
    <w:unhideWhenUsed/>
    <w:rPr>
      <w:sz w:val="20"/>
      <w:szCs w:val="20"/>
    </w:rPr>
  </w:style>
  <w:style w:type="paragraph" w:styleId="Heading1">
    <w:name w:val="Heading 1"/>
    <w:basedOn w:val="Normal"/>
    <w:next w:val="Normal"/>
    <w:qFormat/>
    <w:pPr>
      <w:spacing w:after="160" w:before="360"/>
    </w:pPr>
    <w:rPr>
      <w:rFonts w:ascii="Montserrat" w:cs="Montserrat" w:eastAsia="Montserrat" w:hAnsi="Montserrat"/>
      <w:b/>
      <w:bCs/>
      <w:color w:val="05132A"/>
      <w:sz w:val="30"/>
      <w:szCs w:val="30"/>
    </w:rPr>
  </w:style>
  <w:style w:type="paragraph" w:styleId="Heading2">
    <w:name w:val="Heading 2"/>
    <w:basedOn w:val="Normal"/>
    <w:next w:val="Normal"/>
    <w:qFormat/>
    <w:pPr>
      <w:spacing w:after="120" w:before="260"/>
    </w:pPr>
    <w:rPr>
      <w:rFonts w:ascii="Montserrat" w:cs="Montserrat" w:eastAsia="Montserrat" w:hAnsi="Montserrat"/>
      <w:b/>
      <w:bCs/>
      <w:color w:val="05132A"/>
      <w:sz w:val="24"/>
      <w:szCs w:val="24"/>
    </w:rPr>
  </w:style>
  <w:style w:type="paragraph" w:styleId="Heading3">
    <w:name w:val="Heading 3"/>
    <w:basedOn w:val="Normal"/>
    <w:next w:val="Normal"/>
    <w:qFormat/>
    <w:pPr>
      <w:spacing w:after="100" w:before="200"/>
    </w:pPr>
    <w:rPr>
      <w:rFonts w:ascii="Montserrat" w:cs="Montserrat" w:eastAsia="Montserrat" w:hAnsi="Montserrat"/>
      <w:b/>
      <w:bCs/>
      <w:color w:val="C99A52"/>
      <w:sz w:val="21"/>
      <w:szCs w:val="21"/>
    </w:rPr>
  </w:style>
</w:styles>
</file>

<file path=word/_rels/document.xml.rels><?xml version='1.0' encoding='UTF-8' standalone='yes'?>
<Relationships xmlns="http://schemas.openxmlformats.org/package/2006/relationships"><Relationship Id="rId8" Type="http://schemas.openxmlformats.org/officeDocument/2006/relationships/image" Target="media/66617952c1fc47261b9550e294056fd7eaee90ee.png"/><Relationship Id="rId3" Type="http://schemas.openxmlformats.org/officeDocument/2006/relationships/footnotes" Target="footnotes.xml"/><Relationship Id="rId7" Type="http://schemas.openxmlformats.org/officeDocument/2006/relationships/footer" Target="footer1.xml"/><Relationship Id="rId12" Type="http://schemas.openxmlformats.org/officeDocument/2006/relationships/customXml" Target="../customXml/item3.xml"/><Relationship Id="rId2" Type="http://schemas.openxmlformats.org/officeDocument/2006/relationships/numbering" Target="numbering.xml"/><Relationship Id="rId1" Type="http://schemas.openxmlformats.org/officeDocument/2006/relationships/styles" Target="styles.xml"/><Relationship Id="rId6" Type="http://schemas.openxmlformats.org/officeDocument/2006/relationships/comments" Target="comments.xml"/><Relationship Id="rId11" Type="http://schemas.openxmlformats.org/officeDocument/2006/relationships/customXml" Target="../customXml/item2.xml"/><Relationship Id="rId5" Type="http://schemas.openxmlformats.org/officeDocument/2006/relationships/settings" Target="settings.xml"/><Relationship Id="rId10" Type="http://schemas.openxmlformats.org/officeDocument/2006/relationships/customXml" Target="../customXml/item1.xml"/><Relationship Id="rId4" Type="http://schemas.openxmlformats.org/officeDocument/2006/relationships/endnotes" Target="endnotes.xml"/><Relationship Id="rId9" Type="http://schemas.openxmlformats.org/officeDocument/2006/relationships/fontTable" Target="fontTable.xml"/></Relationships>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item1.xml><?xml version="1.0" encoding="utf-8"?>
<ct:contentTypeSchema xmlns:ct="http://schemas.microsoft.com/office/2006/metadata/contentType" xmlns:ma="http://schemas.microsoft.com/office/2006/metadata/properties/metaAttributes" ct:_="" ma:_="" ma:contentTypeName="Document" ma:contentTypeID="0x01010019BFD6B84F7029419816FFCF5AF812DE" ma:contentTypeVersion="9" ma:contentTypeDescription="Create a new document." ma:contentTypeScope="" ma:versionID="ae75f7d6110eb3c01e30b5864ecce8d9">
  <xsd:schema xmlns:xsd="http://www.w3.org/2001/XMLSchema" xmlns:xs="http://www.w3.org/2001/XMLSchema" xmlns:p="http://schemas.microsoft.com/office/2006/metadata/properties" xmlns:ns2="f28f5036-0c97-4fb2-9995-e6511ad4535b" xmlns:ns3="d3a2e4d4-5189-48ac-a210-e1294fbd99f3" targetNamespace="http://schemas.microsoft.com/office/2006/metadata/properties" ma:root="true" ma:fieldsID="5f758225586994ab2ed7147b7dc97d7e" ns2:_="" ns3:_="">
    <xsd:import namespace="f28f5036-0c97-4fb2-9995-e6511ad4535b"/>
    <xsd:import namespace="d3a2e4d4-5189-48ac-a210-e1294fbd99f3"/>
    <xsd:element name="properties">
      <xsd:complexType>
        <xsd:sequence>
          <xsd:element name="documentManagement">
            <xsd:complexType>
              <xsd:all>
                <xsd:element ref="ns2:MediaServiceMetadata" minOccurs="0"/>
                <xsd:element ref="ns2:MediaServiceFastMetadata" minOccurs="0"/>
                <xsd:element ref="ns2:MediaServiceSearchProperties" minOccurs="0"/>
                <xsd:element ref="ns2:MediaServiceDateTaken" minOccurs="0"/>
                <xsd:element ref="ns2:MediaServiceGenerationTime" minOccurs="0"/>
                <xsd:element ref="ns2:MediaServiceEventHashCode" minOccurs="0"/>
                <xsd:element ref="ns2:lcf76f155ced4ddcb4097134ff3c332f" minOccurs="0"/>
                <xsd:element ref="ns3:TaxCatchAll"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f28f5036-0c97-4fb2-9995-e6511ad4535b"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SearchProperties" ma:index="10" nillable="true" ma:displayName="MediaServiceSearchProperties" ma:hidden="true" ma:internalName="MediaServiceSearchProperties" ma:readOnly="true">
      <xsd:simpleType>
        <xsd:restriction base="dms:Note"/>
      </xsd:simpleType>
    </xsd:element>
    <xsd:element name="MediaServiceDateTaken" ma:index="11" nillable="true" ma:displayName="MediaServiceDateTaken" ma:hidden="true" ma:indexed="true" ma:internalName="MediaServiceDateTaken" ma:readOnly="true">
      <xsd:simpleType>
        <xsd:restriction base="dms:Text"/>
      </xsd:simpleType>
    </xsd:element>
    <xsd:element name="MediaServiceGenerationTime" ma:index="12" nillable="true" ma:displayName="MediaServiceGenerationTime" ma:hidden="true" ma:internalName="MediaServiceGenerationTime" ma:readOnly="true">
      <xsd:simpleType>
        <xsd:restriction base="dms:Text"/>
      </xsd:simpleType>
    </xsd:element>
    <xsd:element name="MediaServiceEventHashCode" ma:index="13" nillable="true" ma:displayName="MediaServiceEventHashCode" ma:hidden="true" ma:internalName="MediaServiceEventHashCode" ma:readOnly="true">
      <xsd:simpleType>
        <xsd:restriction base="dms:Text"/>
      </xsd:simpleType>
    </xsd:element>
    <xsd:element name="lcf76f155ced4ddcb4097134ff3c332f" ma:index="15" nillable="true" ma:taxonomy="true" ma:internalName="lcf76f155ced4ddcb4097134ff3c332f" ma:taxonomyFieldName="MediaServiceImageTags" ma:displayName="Image Tags" ma:readOnly="false" ma:fieldId="{5cf76f15-5ced-4ddc-b409-7134ff3c332f}" ma:taxonomyMulti="true" ma:sspId="3edfda32-ed56-4dd9-bd64-14fdcb8b12da" ma:termSetId="09814cd3-568e-fe90-9814-8d621ff8fb84" ma:anchorId="fba54fb3-c3e1-fe81-a776-ca4b69148c4d" ma:open="true" ma:isKeyword="false">
      <xsd:complexType>
        <xsd:sequence>
          <xsd:element ref="pc:Terms" minOccurs="0" maxOccurs="1"/>
        </xsd:sequence>
      </xsd:complexType>
    </xsd:element>
  </xsd:schema>
  <xsd:schema xmlns:xsd="http://www.w3.org/2001/XMLSchema" xmlns:xs="http://www.w3.org/2001/XMLSchema" xmlns:dms="http://schemas.microsoft.com/office/2006/documentManagement/types" xmlns:pc="http://schemas.microsoft.com/office/infopath/2007/PartnerControls" targetNamespace="d3a2e4d4-5189-48ac-a210-e1294fbd99f3" elementFormDefault="qualified">
    <xsd:import namespace="http://schemas.microsoft.com/office/2006/documentManagement/types"/>
    <xsd:import namespace="http://schemas.microsoft.com/office/infopath/2007/PartnerControls"/>
    <xsd:element name="TaxCatchAll" ma:index="16" nillable="true" ma:displayName="Taxonomy Catch All Column" ma:hidden="true" ma:list="{309b44fd-1af0-4c99-971b-3abc3e199a55}" ma:internalName="TaxCatchAll" ma:showField="CatchAllData" ma:web="d3a2e4d4-5189-48ac-a210-e1294fbd99f3">
      <xsd:complexType>
        <xsd:complexContent>
          <xsd:extension base="dms:MultiChoiceLookup">
            <xsd:sequence>
              <xsd:element name="Value" type="dms:Lookup" maxOccurs="unbounded" minOccurs="0" nillable="true"/>
            </xsd:sequence>
          </xsd:extension>
        </xsd:complexContent>
      </xsd:complex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p:properties xmlns:p="http://schemas.microsoft.com/office/2006/metadata/properties" xmlns:xsi="http://www.w3.org/2001/XMLSchema-instance" xmlns:pc="http://schemas.microsoft.com/office/infopath/2007/PartnerControls">
  <documentManagement>
    <lcf76f155ced4ddcb4097134ff3c332f xmlns="f28f5036-0c97-4fb2-9995-e6511ad4535b">
      <Terms xmlns="http://schemas.microsoft.com/office/infopath/2007/PartnerControls"/>
    </lcf76f155ced4ddcb4097134ff3c332f>
    <TaxCatchAll xmlns="d3a2e4d4-5189-48ac-a210-e1294fbd99f3" xsi:nil="true"/>
  </documentManagement>
</p:properties>
</file>

<file path=customXml/itemProps1.xml><?xml version="1.0" encoding="utf-8"?>
<ds:datastoreItem xmlns:ds="http://schemas.openxmlformats.org/officeDocument/2006/customXml" ds:itemID="{26039865-D17B-4190-95FC-4A36BC205D5E}"/>
</file>

<file path=customXml/itemProps2.xml><?xml version="1.0" encoding="utf-8"?>
<ds:datastoreItem xmlns:ds="http://schemas.openxmlformats.org/officeDocument/2006/customXml" ds:itemID="{EDCF3370-3E8F-4AB3-A091-61127EC5DB6F}"/>
</file>

<file path=customXml/itemProps3.xml><?xml version="1.0" encoding="utf-8"?>
<ds:datastoreItem xmlns:ds="http://schemas.openxmlformats.org/officeDocument/2006/customXml" ds:itemID="{D445E93A-E613-4265-9BAA-637BAFE80B88}"/>
</file>

<file path=docProps/app.xml><?xml version="1.0" encoding="utf-8"?>
<Properties xmlns="http://schemas.openxmlformats.org/officeDocument/2006/extended-properties" xmlns:vt="http://schemas.openxmlformats.org/officeDocument/2006/docPropsVTyp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Governance runbook (WBS 0.8)</dc:title>
  <dc:creator>Argelis Consultancy</dc:creator>
  <cp:lastModifiedBy>Un-named</cp:lastModifiedBy>
  <cp:revision>1</cp:revision>
  <dcterms:created xsi:type="dcterms:W3CDTF">2026-07-15T12:05:10Z</dcterms:created>
  <dcterms:modified xsi:type="dcterms:W3CDTF">2026-07-15T12:05:10Z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ContentTypeId">
    <vt:lpwstr>0x01010019BFD6B84F7029419816FFCF5AF812DE</vt:lpwstr>
  </property>
  <property fmtid="{D5CDD505-2E9C-101B-9397-08002B2CF9AE}" pid="3" name="MediaServiceImageTags">
    <vt:lpwstr/>
  </property>
</Properties>
</file>