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Jeffrey Razon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Argenis Jimenez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CPE 403-1001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NSHE 2000718323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CC1350 Lab 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Github root directory: https://github.com/JeffinVegas/403_AdvEmbSys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Date Due: November 24th, 2018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 Building and loading the collector example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We successfully built and load the collector example onto one CC1350 device.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 Building and loading the sensor example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We successfully built and load the sensor example onto one CC1350 device.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a) The PuTTY output for the collector and sensor examples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Using the Collector and Sensor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 We successfully used the two CC1350 device with the collector/sensor examples to interact with each other.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4</w:t>
      </w:r>
      <w:r w:rsidDel="00000000" w:rsidR="00000000" w:rsidRPr="00000000">
        <w:rPr>
          <w:rtl w:val="0"/>
        </w:rPr>
        <w:t xml:space="preserve">: Updating the sensor's reporting rate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We successfully changed the reporting interval for the sensor example and the reporting/polling interval for the collector example, then built and loaded the examples.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Youtube Link: </w:t>
      </w:r>
      <w:r w:rsidDel="00000000" w:rsidR="00000000" w:rsidRPr="00000000">
        <w:rPr>
          <w:highlight w:val="white"/>
          <w:rtl w:val="0"/>
        </w:rPr>
        <w:t xml:space="preserve">https://youtu.be/d2y9b-VP6-Y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